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28"/>
          <w:szCs w:val="36"/>
        </w:rPr>
      </w:pPr>
      <w:r>
        <w:rPr>
          <w:rFonts w:hint="eastAsia" w:ascii="黑体" w:hAnsi="黑体" w:eastAsia="黑体" w:cs="黑体"/>
          <w:sz w:val="28"/>
          <w:szCs w:val="36"/>
        </w:rPr>
        <w:t>GB 50343-2012《建筑物电子信息系统防雷技术规范》</w:t>
      </w:r>
    </w:p>
    <w:p>
      <w:pPr>
        <w:numPr>
          <w:ilvl w:val="0"/>
          <w:numId w:val="1"/>
        </w:numPr>
        <w:rPr>
          <w:rFonts w:hint="eastAsia" w:ascii="黑体" w:hAnsi="黑体" w:eastAsia="黑体" w:cs="黑体"/>
          <w:sz w:val="28"/>
          <w:szCs w:val="36"/>
          <w:lang w:eastAsia="zh-CN"/>
        </w:rPr>
      </w:pPr>
      <w:r>
        <w:rPr>
          <w:rFonts w:hint="eastAsia" w:ascii="黑体" w:hAnsi="黑体" w:eastAsia="黑体" w:cs="黑体"/>
          <w:sz w:val="28"/>
          <w:szCs w:val="36"/>
          <w:lang w:eastAsia="zh-CN"/>
        </w:rPr>
        <w:t>名词解释</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w:t>
      </w:r>
      <w:r>
        <w:rPr>
          <w:rFonts w:hint="eastAsia" w:ascii="Times New Roman" w:hAnsi="Times New Roman" w:cs="Times New Roman"/>
          <w:color w:val="000000"/>
        </w:rPr>
        <w:t>电子信息系统：由计算机、通信设备、处理设备、控制设备、电力电子装置及其相关的配套设备、设施(含网络)等的电子设备构成的，按照一定应用目的和规则对信息进行采集、加工、存储、传输、检索等处理的人机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w:t>
      </w:r>
      <w:r>
        <w:rPr>
          <w:rFonts w:hint="eastAsia" w:ascii="Times New Roman" w:hAnsi="Times New Roman" w:cs="Times New Roman"/>
          <w:color w:val="000000"/>
        </w:rPr>
        <w:t>.综合防雷系统：外部和内部雷电防护系统的总称。外部防雷由接闪器、引下线和接地装置等组成，用于直击雷的防护。内部防雷由等电位连接、共用接地装置、屏蔽、合理布线、浪涌保护器等组成，用于减小和防止雷电流在需防护空间内所产生的电磁效应。</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第2.0.5条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3</w:t>
      </w:r>
      <w:r>
        <w:rPr>
          <w:rFonts w:hint="eastAsia" w:ascii="Times New Roman" w:hAnsi="Times New Roman" w:cs="Times New Roman"/>
          <w:color w:val="000000"/>
        </w:rPr>
        <w:t>.共用接地系统：将防雷系统的接地装置、建筑物金属构件、低压配电保护线(PE) 、等电位连接端子板或连接带、设备保护地、屏蔽体接地、防静电接地、功能性接地等连接在一起构成共用的接地系统。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第2.0.6条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4</w:t>
      </w:r>
      <w:r>
        <w:rPr>
          <w:rFonts w:hint="eastAsia" w:ascii="Times New Roman" w:hAnsi="Times New Roman" w:cs="Times New Roman"/>
          <w:color w:val="000000"/>
        </w:rPr>
        <w:t>.自然接地体：兼有接地功能、但不是为此目的而专门设置的与大地有良好接触的各种金属构件、金属井管、混凝土中的钢筋等的统称。</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第2.0.7条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5</w:t>
      </w:r>
      <w:r>
        <w:rPr>
          <w:rFonts w:hint="eastAsia" w:ascii="Times New Roman" w:hAnsi="Times New Roman" w:cs="Times New Roman"/>
          <w:color w:val="000000"/>
        </w:rPr>
        <w:t>.接地端子：将保护导体、等电位连接导体和工作接地导体与接地装置连接的端子或接地排。</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第2.0.8条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6</w:t>
      </w:r>
      <w:r>
        <w:rPr>
          <w:rFonts w:hint="eastAsia" w:ascii="Times New Roman" w:hAnsi="Times New Roman" w:cs="Times New Roman"/>
          <w:color w:val="000000"/>
        </w:rPr>
        <w:t>.总等电位接地端子板：将多个接地端子连接在一起并直接与接地装置连接金属板。</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第2.0.9条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7</w:t>
      </w:r>
      <w:r>
        <w:rPr>
          <w:rFonts w:hint="eastAsia" w:ascii="Times New Roman" w:hAnsi="Times New Roman" w:cs="Times New Roman"/>
          <w:color w:val="000000"/>
        </w:rPr>
        <w:t>.楼层等电位接地端子板：建筑物内楼层设置的接地端子板，供局部等电位接地端子板作等电位连接用。</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第2.0.10条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8</w:t>
      </w:r>
      <w:r>
        <w:rPr>
          <w:rFonts w:hint="eastAsia" w:ascii="Times New Roman" w:hAnsi="Times New Roman" w:cs="Times New Roman"/>
          <w:color w:val="000000"/>
        </w:rPr>
        <w:t>.局地等电位接地端子板（排）：电子信息系统机房内局部等电位连接网络接地的端子板。</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第2.0.11条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9</w:t>
      </w:r>
      <w:r>
        <w:rPr>
          <w:rFonts w:hint="eastAsia" w:ascii="Times New Roman" w:hAnsi="Times New Roman" w:cs="Times New Roman"/>
          <w:color w:val="000000"/>
        </w:rPr>
        <w:t>.等电位连接带：用作等电位连接的金属导体。</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第2.0.13条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10</w:t>
      </w:r>
      <w:r>
        <w:rPr>
          <w:rFonts w:hint="eastAsia" w:ascii="Times New Roman" w:hAnsi="Times New Roman" w:cs="Times New Roman"/>
          <w:color w:val="000000"/>
        </w:rPr>
        <w:t>.等电位连接网络：建筑物内用作等电位连接的所有导体和浪涌保护器组成的网络。</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第2.0.14条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11</w:t>
      </w:r>
      <w:r>
        <w:rPr>
          <w:rFonts w:hint="eastAsia" w:ascii="Times New Roman" w:hAnsi="Times New Roman" w:cs="Times New Roman"/>
          <w:color w:val="000000"/>
        </w:rPr>
        <w:t>.电压开关型浪涌保护器：这种浪涌保护器在无浪涌时呈现高阻抗，当出现电压浪涌时突变为低阻抗。通常采用放电间隙、气体放电管、晶闸管和三端双向可控硅元件作这类浪涌保护器的组件。</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第2.0.17条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12</w:t>
      </w:r>
      <w:r>
        <w:rPr>
          <w:rFonts w:hint="eastAsia" w:ascii="Times New Roman" w:hAnsi="Times New Roman" w:cs="Times New Roman"/>
          <w:color w:val="000000"/>
        </w:rPr>
        <w:t>.电压限制型浪涌保护器：这种浪涌保护器在无浪涌时呈现高阻抗，但随浪涌电流和电压的增加其阻抗会不断减小，又称限压型浪涌保护器。用作这类非线性装置的常见器件有压敏电阻和抑制二极管。</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第2.0.18条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13</w:t>
      </w:r>
      <w:r>
        <w:rPr>
          <w:rFonts w:hint="eastAsia" w:ascii="Times New Roman" w:hAnsi="Times New Roman" w:cs="Times New Roman"/>
          <w:color w:val="000000"/>
        </w:rPr>
        <w:t>.标称放电电流：流过浪涌保护器，具有 8/20μs 波形的电流峰值，用于浪涌保护器的II类试验以及I类、II类试验的预处理试验。</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第2.0.19条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14</w:t>
      </w:r>
      <w:r>
        <w:rPr>
          <w:rFonts w:hint="eastAsia" w:ascii="Times New Roman" w:hAnsi="Times New Roman" w:cs="Times New Roman"/>
          <w:color w:val="000000"/>
        </w:rPr>
        <w:t>.最大放电电流：流过浪涌保护器，具有 8/20μs 波形的电流峰值，其值按II类动作负载试验的程序确定。I</w:t>
      </w:r>
      <w:r>
        <w:rPr>
          <w:rFonts w:hint="eastAsia" w:ascii="Times New Roman" w:hAnsi="Times New Roman" w:cs="Times New Roman"/>
          <w:color w:val="000000"/>
          <w:vertAlign w:val="subscript"/>
        </w:rPr>
        <w:t>max</w:t>
      </w:r>
      <w:r>
        <w:rPr>
          <w:rFonts w:hint="eastAsia" w:ascii="Times New Roman" w:hAnsi="Times New Roman" w:cs="Times New Roman"/>
          <w:color w:val="000000"/>
        </w:rPr>
        <w:t>大于I</w:t>
      </w:r>
      <w:r>
        <w:rPr>
          <w:rFonts w:hint="eastAsia" w:ascii="Times New Roman" w:hAnsi="Times New Roman" w:cs="Times New Roman"/>
          <w:color w:val="000000"/>
          <w:vertAlign w:val="subscript"/>
        </w:rPr>
        <w:t>n</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第2.0.20条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15</w:t>
      </w:r>
      <w:r>
        <w:rPr>
          <w:rFonts w:hint="eastAsia" w:ascii="Times New Roman" w:hAnsi="Times New Roman" w:cs="Times New Roman"/>
          <w:color w:val="000000"/>
        </w:rPr>
        <w:t>.冲击电流：由电流峰值 I</w:t>
      </w:r>
      <w:r>
        <w:rPr>
          <w:rFonts w:hint="eastAsia" w:ascii="Times New Roman" w:hAnsi="Times New Roman" w:cs="Times New Roman"/>
          <w:color w:val="000000"/>
          <w:vertAlign w:val="subscript"/>
        </w:rPr>
        <w:t>peak</w:t>
      </w:r>
      <w:r>
        <w:rPr>
          <w:rFonts w:hint="eastAsia" w:ascii="Times New Roman" w:hAnsi="Times New Roman" w:cs="Times New Roman"/>
          <w:color w:val="000000"/>
        </w:rPr>
        <w:t xml:space="preserve"> 、电荷量Q和比能量 W/R 三个参数定义的电流，用于浪涌保护器的I类试验，典型波形为 10/350μs。</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第2.0.21条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16</w:t>
      </w:r>
      <w:r>
        <w:rPr>
          <w:rFonts w:hint="eastAsia" w:ascii="Times New Roman" w:hAnsi="Times New Roman" w:cs="Times New Roman"/>
          <w:color w:val="000000"/>
        </w:rPr>
        <w:t>.最大持续工作电压：可连续施加在浪涌保护器上的最大交流电压有效值或直流电压。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第2.0.22条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17</w:t>
      </w:r>
      <w:r>
        <w:rPr>
          <w:rFonts w:hint="eastAsia" w:ascii="Times New Roman" w:hAnsi="Times New Roman" w:cs="Times New Roman"/>
          <w:color w:val="000000"/>
        </w:rPr>
        <w:t>.残压：放电电流流过浪涌保护器时，在其端子间的电压峰值。</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第2.0.23条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18</w:t>
      </w:r>
      <w:r>
        <w:rPr>
          <w:rFonts w:hint="eastAsia" w:ascii="Times New Roman" w:hAnsi="Times New Roman" w:cs="Times New Roman"/>
          <w:color w:val="000000"/>
        </w:rPr>
        <w:t>.限制电压：施加规定波形和幅值的冲击时，在浪涌保护器接线端子间测得的最大电压峰值。</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第2.0.24条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19</w:t>
      </w:r>
      <w:r>
        <w:rPr>
          <w:rFonts w:hint="eastAsia" w:ascii="Times New Roman" w:hAnsi="Times New Roman" w:cs="Times New Roman"/>
          <w:color w:val="000000"/>
        </w:rPr>
        <w:t>.电压保护水平：表征浪涌保护器限制接线端子间电压的性能参数，该值应大于限制电压的最高值。</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第2.0.25条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20</w:t>
      </w:r>
      <w:r>
        <w:rPr>
          <w:rFonts w:hint="eastAsia" w:ascii="Times New Roman" w:hAnsi="Times New Roman" w:cs="Times New Roman"/>
          <w:color w:val="000000"/>
        </w:rPr>
        <w:t>.有效保护水平：浪涌保护器连接导线的感应电压降与浪涌保护器电压保护水平U</w:t>
      </w:r>
      <w:r>
        <w:rPr>
          <w:rFonts w:hint="eastAsia" w:ascii="Times New Roman" w:hAnsi="Times New Roman" w:cs="Times New Roman"/>
          <w:color w:val="000000"/>
          <w:vertAlign w:val="subscript"/>
        </w:rPr>
        <w:t>p</w:t>
      </w:r>
      <w:r>
        <w:rPr>
          <w:rFonts w:hint="eastAsia" w:ascii="Times New Roman" w:hAnsi="Times New Roman" w:cs="Times New Roman"/>
          <w:color w:val="000000"/>
        </w:rPr>
        <w:t>之和。</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第2.0.26条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21</w:t>
      </w:r>
      <w:r>
        <w:rPr>
          <w:rFonts w:hint="eastAsia" w:ascii="Times New Roman" w:hAnsi="Times New Roman" w:cs="Times New Roman"/>
          <w:color w:val="000000"/>
        </w:rPr>
        <w:t>.1.2/50μs冲击电压：视在波前时间为1. 2μs ，半峰值时间为 50μs 的冲击电压。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第2.0.27条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22</w:t>
      </w:r>
      <w:r>
        <w:rPr>
          <w:rFonts w:hint="eastAsia" w:ascii="Times New Roman" w:hAnsi="Times New Roman" w:cs="Times New Roman"/>
          <w:color w:val="000000"/>
        </w:rPr>
        <w:t>.8/20μs冲击电流：视在波前时间为8μs ，半峰值时间为 20μs 的冲击电流。</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第2.0.28条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23</w:t>
      </w:r>
      <w:r>
        <w:rPr>
          <w:rFonts w:hint="eastAsia" w:ascii="Times New Roman" w:hAnsi="Times New Roman" w:cs="Times New Roman"/>
          <w:color w:val="000000"/>
        </w:rPr>
        <w:t>.复合波：复合波由冲击发生器产生，开路时输出1. 2/50μs 冲击电压，短路时输出 8/20μs 冲击电流。提供给浪涌保护器的电压、电流幅值及其波形由冲击发生器和受冲击作用的浪涌保护器的阻抗而定。开路电压峰值和短路电流峰值之比为2Ω，该比值定义为虚拟输出阻抗 Z</w:t>
      </w:r>
      <w:r>
        <w:rPr>
          <w:rFonts w:hint="eastAsia" w:ascii="Times New Roman" w:hAnsi="Times New Roman" w:cs="Times New Roman"/>
          <w:color w:val="000000"/>
          <w:vertAlign w:val="subscript"/>
        </w:rPr>
        <w:t>f</w:t>
      </w:r>
      <w:r>
        <w:rPr>
          <w:rFonts w:hint="eastAsia" w:ascii="Times New Roman" w:hAnsi="Times New Roman" w:cs="Times New Roman"/>
          <w:color w:val="000000"/>
        </w:rPr>
        <w:t>， 短路电流用符号 I</w:t>
      </w:r>
      <w:r>
        <w:rPr>
          <w:rFonts w:hint="eastAsia" w:ascii="Times New Roman" w:hAnsi="Times New Roman" w:cs="Times New Roman"/>
          <w:color w:val="000000"/>
          <w:vertAlign w:val="subscript"/>
        </w:rPr>
        <w:t>sc</w:t>
      </w:r>
      <w:r>
        <w:rPr>
          <w:rFonts w:hint="eastAsia" w:ascii="Times New Roman" w:hAnsi="Times New Roman" w:cs="Times New Roman"/>
          <w:color w:val="000000"/>
        </w:rPr>
        <w:t xml:space="preserve"> 表示，开路电压用符号U</w:t>
      </w:r>
      <w:r>
        <w:rPr>
          <w:rFonts w:hint="eastAsia" w:ascii="Times New Roman" w:hAnsi="Times New Roman" w:cs="Times New Roman"/>
          <w:color w:val="000000"/>
          <w:vertAlign w:val="subscript"/>
        </w:rPr>
        <w:t>oc</w:t>
      </w:r>
      <w:r>
        <w:rPr>
          <w:rFonts w:hint="eastAsia" w:ascii="Times New Roman" w:hAnsi="Times New Roman" w:cs="Times New Roman"/>
          <w:color w:val="000000"/>
        </w:rPr>
        <w:t xml:space="preserve"> 表示。</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第2.0.29条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24</w:t>
      </w:r>
      <w:r>
        <w:rPr>
          <w:rFonts w:hint="eastAsia" w:ascii="Times New Roman" w:hAnsi="Times New Roman" w:cs="Times New Roman"/>
          <w:color w:val="000000"/>
        </w:rPr>
        <w:t>.插入损耗：传输系统中插入一个浪涌保护器所引起的损耗，其值等于浪涌保护器插入前后的功率比。插入损耗常用分贝 (dB)来表示。</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第2.0.33条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25</w:t>
      </w:r>
      <w:r>
        <w:rPr>
          <w:rFonts w:hint="eastAsia" w:ascii="Times New Roman" w:hAnsi="Times New Roman" w:cs="Times New Roman"/>
          <w:color w:val="000000"/>
        </w:rPr>
        <w:t>.劣化：由于浪涌、使用或不利环境的影响造成浪涌保护器原始性能参数的变化。</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第2.0.34条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26</w:t>
      </w:r>
      <w:r>
        <w:rPr>
          <w:rFonts w:hint="eastAsia" w:ascii="Times New Roman" w:hAnsi="Times New Roman" w:cs="Times New Roman"/>
          <w:color w:val="000000"/>
        </w:rPr>
        <w:t>.热熔焊：利用放热化学反应时快速产生超高热量，使两导体熔化成一体的连接方法。</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第2.0.35条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27</w:t>
      </w:r>
      <w:r>
        <w:rPr>
          <w:rFonts w:hint="eastAsia" w:ascii="Times New Roman" w:hAnsi="Times New Roman" w:cs="Times New Roman"/>
          <w:color w:val="000000"/>
        </w:rPr>
        <w:t>.雷击损害风险：雷击导致的年平均可能损失(人和物)与受保护对象的总价值(人和物)之比。</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第2.0.36条</w:t>
      </w:r>
    </w:p>
    <w:p>
      <w:pPr>
        <w:numPr>
          <w:numId w:val="0"/>
        </w:numPr>
        <w:rPr>
          <w:rFonts w:hint="eastAsia" w:ascii="黑体" w:hAnsi="黑体" w:eastAsia="黑体" w:cs="黑体"/>
          <w:sz w:val="28"/>
          <w:szCs w:val="36"/>
          <w:lang w:eastAsia="zh-CN"/>
        </w:rPr>
      </w:pPr>
    </w:p>
    <w:p>
      <w:pPr>
        <w:numPr>
          <w:numId w:val="0"/>
        </w:numPr>
        <w:ind w:leftChars="0" w:firstLine="560" w:firstLineChars="200"/>
        <w:rPr>
          <w:rFonts w:hint="default" w:ascii="黑体" w:hAnsi="黑体" w:eastAsia="黑体" w:cs="黑体"/>
          <w:sz w:val="28"/>
          <w:szCs w:val="36"/>
          <w:lang w:val="en-US" w:eastAsia="zh-CN"/>
        </w:rPr>
      </w:pPr>
      <w:r>
        <w:rPr>
          <w:rFonts w:hint="eastAsia" w:ascii="黑体" w:hAnsi="黑体" w:eastAsia="黑体" w:cs="黑体"/>
          <w:sz w:val="28"/>
          <w:szCs w:val="36"/>
          <w:lang w:val="en-US" w:eastAsia="zh-CN"/>
        </w:rPr>
        <w:t>二、填空</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黑体" w:hAnsi="黑体" w:eastAsia="黑体" w:cs="黑体"/>
          <w:sz w:val="32"/>
          <w:szCs w:val="40"/>
          <w:lang w:val="en-US" w:eastAsia="zh-CN"/>
        </w:rPr>
        <w:t xml:space="preserve">  </w:t>
      </w:r>
      <w:r>
        <w:rPr>
          <w:rFonts w:hint="eastAsia" w:ascii="Times New Roman" w:hAnsi="Times New Roman" w:cs="Times New Roman"/>
          <w:color w:val="000000"/>
        </w:rPr>
        <w:t>地区雷暴日等级应根据</w:t>
      </w:r>
      <w:r>
        <w:rPr>
          <w:rFonts w:hint="eastAsia" w:ascii="Times New Roman" w:hAnsi="Times New Roman" w:cs="Times New Roman"/>
          <w:color w:val="000000"/>
          <w:u w:val="single"/>
        </w:rPr>
        <w:t>年平均雷暴日数</w:t>
      </w:r>
      <w:r>
        <w:rPr>
          <w:rFonts w:hint="eastAsia" w:ascii="Times New Roman" w:hAnsi="Times New Roman" w:cs="Times New Roman"/>
          <w:color w:val="000000"/>
        </w:rPr>
        <w:t>划分。</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第3.1.1条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少雷区：年平均雷暴日在</w:t>
      </w:r>
      <w:r>
        <w:rPr>
          <w:rFonts w:hint="eastAsia" w:ascii="Times New Roman" w:hAnsi="Times New Roman" w:cs="Times New Roman"/>
          <w:color w:val="000000"/>
          <w:u w:val="single"/>
        </w:rPr>
        <w:t>25d</w:t>
      </w:r>
      <w:r>
        <w:rPr>
          <w:rFonts w:hint="eastAsia" w:ascii="Times New Roman" w:hAnsi="Times New Roman" w:cs="Times New Roman"/>
          <w:color w:val="000000"/>
        </w:rPr>
        <w:t>及以下的地区。</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第3.1.3条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中雷区：年平均雷暴日大于</w:t>
      </w:r>
      <w:r>
        <w:rPr>
          <w:rFonts w:hint="eastAsia" w:ascii="Times New Roman" w:hAnsi="Times New Roman" w:cs="Times New Roman"/>
          <w:color w:val="000000"/>
          <w:u w:val="single"/>
        </w:rPr>
        <w:t>25d</w:t>
      </w:r>
      <w:r>
        <w:rPr>
          <w:rFonts w:hint="eastAsia" w:ascii="Times New Roman" w:hAnsi="Times New Roman" w:cs="Times New Roman"/>
          <w:color w:val="000000"/>
        </w:rPr>
        <w:t>，不超过</w:t>
      </w:r>
      <w:r>
        <w:rPr>
          <w:rFonts w:hint="eastAsia" w:ascii="Times New Roman" w:hAnsi="Times New Roman" w:cs="Times New Roman"/>
          <w:color w:val="000000"/>
          <w:u w:val="single"/>
        </w:rPr>
        <w:t>40d</w:t>
      </w:r>
      <w:r>
        <w:rPr>
          <w:rFonts w:hint="eastAsia" w:ascii="Times New Roman" w:hAnsi="Times New Roman" w:cs="Times New Roman"/>
          <w:color w:val="000000"/>
        </w:rPr>
        <w:t>的地区。</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第3.1.3条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多雷区：年平均雷暴日大于</w:t>
      </w:r>
      <w:r>
        <w:rPr>
          <w:rFonts w:hint="eastAsia" w:ascii="Times New Roman" w:hAnsi="Times New Roman" w:cs="Times New Roman"/>
          <w:color w:val="000000"/>
          <w:u w:val="single"/>
        </w:rPr>
        <w:t>40d</w:t>
      </w:r>
      <w:r>
        <w:rPr>
          <w:rFonts w:hint="eastAsia" w:ascii="Times New Roman" w:hAnsi="Times New Roman" w:cs="Times New Roman"/>
          <w:color w:val="000000"/>
        </w:rPr>
        <w:t>，不超过</w:t>
      </w:r>
      <w:r>
        <w:rPr>
          <w:rFonts w:hint="eastAsia" w:ascii="Times New Roman" w:hAnsi="Times New Roman" w:cs="Times New Roman"/>
          <w:color w:val="000000"/>
          <w:u w:val="single"/>
        </w:rPr>
        <w:t>90d</w:t>
      </w:r>
      <w:r>
        <w:rPr>
          <w:rFonts w:hint="eastAsia" w:ascii="Times New Roman" w:hAnsi="Times New Roman" w:cs="Times New Roman"/>
          <w:color w:val="000000"/>
        </w:rPr>
        <w:t>的地区。</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第3.1.3条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强雷区：年平均雷暴日超过</w:t>
      </w:r>
      <w:r>
        <w:rPr>
          <w:rFonts w:hint="eastAsia" w:ascii="Times New Roman" w:hAnsi="Times New Roman" w:cs="Times New Roman"/>
          <w:color w:val="000000"/>
          <w:u w:val="single"/>
        </w:rPr>
        <w:t>90d</w:t>
      </w:r>
      <w:r>
        <w:rPr>
          <w:rFonts w:hint="eastAsia" w:ascii="Times New Roman" w:hAnsi="Times New Roman" w:cs="Times New Roman"/>
          <w:color w:val="000000"/>
        </w:rPr>
        <w:t>的地区。</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第3.1.3条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保护对象应置于电磁特性与该对象</w:t>
      </w:r>
      <w:r>
        <w:rPr>
          <w:rFonts w:hint="eastAsia" w:ascii="Times New Roman" w:hAnsi="Times New Roman" w:cs="Times New Roman"/>
          <w:color w:val="000000"/>
          <w:u w:val="single"/>
        </w:rPr>
        <w:t>耐受能力相兼容</w:t>
      </w:r>
      <w:r>
        <w:rPr>
          <w:rFonts w:hint="eastAsia" w:ascii="Times New Roman" w:hAnsi="Times New Roman" w:cs="Times New Roman"/>
          <w:color w:val="000000"/>
        </w:rPr>
        <w:t>的雷电防护区内。</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第3.2.3条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需要保护的电子信息系统必须采取</w:t>
      </w:r>
      <w:r>
        <w:rPr>
          <w:rFonts w:hint="eastAsia" w:ascii="Times New Roman" w:hAnsi="Times New Roman" w:cs="Times New Roman"/>
          <w:color w:val="000000"/>
          <w:u w:val="single"/>
        </w:rPr>
        <w:t>等电位连接与接地</w:t>
      </w:r>
      <w:r>
        <w:rPr>
          <w:rFonts w:hint="eastAsia" w:ascii="Times New Roman" w:hAnsi="Times New Roman" w:cs="Times New Roman"/>
          <w:color w:val="000000"/>
        </w:rPr>
        <w:t>保护措施。</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第5.1.2条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机房等电位连接网络应与</w:t>
      </w:r>
      <w:r>
        <w:rPr>
          <w:rFonts w:hint="eastAsia" w:ascii="Times New Roman" w:hAnsi="Times New Roman" w:cs="Times New Roman"/>
          <w:color w:val="000000"/>
          <w:u w:val="single"/>
        </w:rPr>
        <w:t>共用接地系统</w:t>
      </w:r>
      <w:r>
        <w:rPr>
          <w:rFonts w:hint="eastAsia" w:ascii="Times New Roman" w:hAnsi="Times New Roman" w:cs="Times New Roman"/>
          <w:color w:val="000000"/>
        </w:rPr>
        <w:t>连接。</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第5.2.1条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各类等电位接地端子板之间的连接导体宜采用</w:t>
      </w:r>
      <w:r>
        <w:rPr>
          <w:rFonts w:hint="eastAsia" w:ascii="Times New Roman" w:hAnsi="Times New Roman" w:cs="Times New Roman"/>
          <w:color w:val="000000"/>
          <w:u w:val="single"/>
        </w:rPr>
        <w:t>多股铜芯导线</w:t>
      </w:r>
      <w:r>
        <w:rPr>
          <w:rFonts w:hint="eastAsia" w:ascii="Times New Roman" w:hAnsi="Times New Roman" w:cs="Times New Roman"/>
          <w:color w:val="000000"/>
        </w:rPr>
        <w:t>或</w:t>
      </w:r>
      <w:r>
        <w:rPr>
          <w:rFonts w:hint="eastAsia" w:ascii="Times New Roman" w:hAnsi="Times New Roman" w:cs="Times New Roman"/>
          <w:color w:val="000000"/>
          <w:u w:val="single"/>
        </w:rPr>
        <w:t>铜带</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第5.2.2条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某些特殊重要的建筑物电子信息系统可设</w:t>
      </w:r>
      <w:r>
        <w:rPr>
          <w:rFonts w:hint="eastAsia" w:ascii="Times New Roman" w:hAnsi="Times New Roman" w:cs="Times New Roman"/>
          <w:color w:val="000000"/>
          <w:u w:val="single"/>
        </w:rPr>
        <w:t>专用垂直接地干线</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第5.2.4条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各楼层设置的接地端子板应与</w:t>
      </w:r>
      <w:r>
        <w:rPr>
          <w:rFonts w:hint="eastAsia" w:ascii="Times New Roman" w:hAnsi="Times New Roman" w:cs="Times New Roman"/>
          <w:color w:val="000000"/>
          <w:u w:val="single"/>
        </w:rPr>
        <w:t>垂直接地干线</w:t>
      </w:r>
      <w:r>
        <w:rPr>
          <w:rFonts w:hint="eastAsia" w:ascii="Times New Roman" w:hAnsi="Times New Roman" w:cs="Times New Roman"/>
          <w:color w:val="000000"/>
        </w:rPr>
        <w:t>连接。</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第5.2.4条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音、视频等专用设备工艺接地干线应通过</w:t>
      </w:r>
      <w:r>
        <w:rPr>
          <w:rFonts w:hint="eastAsia" w:ascii="Times New Roman" w:hAnsi="Times New Roman" w:cs="Times New Roman"/>
          <w:color w:val="000000"/>
          <w:u w:val="single"/>
        </w:rPr>
        <w:t>专用等电位接地端子板</w:t>
      </w:r>
      <w:r>
        <w:rPr>
          <w:rFonts w:hint="eastAsia" w:ascii="Times New Roman" w:hAnsi="Times New Roman" w:cs="Times New Roman"/>
          <w:color w:val="000000"/>
        </w:rPr>
        <w:t>独立引至设备机房。</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第5.2.4条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接地装置应优先利用建筑物的</w:t>
      </w:r>
      <w:r>
        <w:rPr>
          <w:rFonts w:hint="eastAsia" w:ascii="Times New Roman" w:hAnsi="Times New Roman" w:cs="Times New Roman"/>
          <w:color w:val="000000"/>
          <w:u w:val="single"/>
        </w:rPr>
        <w:t>自然接地体</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第5.2.6条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电子信息系统涉及多个相邻建筑物时，宜采用</w:t>
      </w:r>
      <w:r>
        <w:rPr>
          <w:rFonts w:hint="eastAsia" w:ascii="Times New Roman" w:hAnsi="Times New Roman" w:cs="Times New Roman"/>
          <w:color w:val="000000"/>
          <w:u w:val="single"/>
        </w:rPr>
        <w:t>两根水平接地体</w:t>
      </w:r>
      <w:r>
        <w:rPr>
          <w:rFonts w:hint="eastAsia" w:ascii="Times New Roman" w:hAnsi="Times New Roman" w:cs="Times New Roman"/>
          <w:color w:val="000000"/>
        </w:rPr>
        <w:t>将各建筑物的接地装置相互连通。</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第5.2.9条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当户外采用非屏蔽电缆时，从人孔井或手孔井到机房的引入线应</w:t>
      </w:r>
      <w:r>
        <w:rPr>
          <w:rFonts w:hint="eastAsia" w:ascii="Times New Roman" w:hAnsi="Times New Roman" w:cs="Times New Roman"/>
          <w:color w:val="000000"/>
          <w:u w:val="single"/>
        </w:rPr>
        <w:t>穿钢管埋地</w:t>
      </w:r>
      <w:r>
        <w:rPr>
          <w:rFonts w:hint="eastAsia" w:ascii="Times New Roman" w:hAnsi="Times New Roman" w:cs="Times New Roman"/>
          <w:color w:val="000000"/>
        </w:rPr>
        <w:t>引入。</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第5.3.3条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电子信息系统线缆宜敷设在</w:t>
      </w:r>
      <w:r>
        <w:rPr>
          <w:rFonts w:hint="eastAsia" w:ascii="Times New Roman" w:hAnsi="Times New Roman" w:cs="Times New Roman"/>
          <w:color w:val="000000"/>
          <w:u w:val="single"/>
        </w:rPr>
        <w:t>金属线槽</w:t>
      </w:r>
      <w:r>
        <w:rPr>
          <w:rFonts w:hint="eastAsia" w:ascii="Times New Roman" w:hAnsi="Times New Roman" w:cs="Times New Roman"/>
          <w:color w:val="000000"/>
        </w:rPr>
        <w:t>或</w:t>
      </w:r>
      <w:r>
        <w:rPr>
          <w:rFonts w:hint="eastAsia" w:ascii="Times New Roman" w:hAnsi="Times New Roman" w:cs="Times New Roman"/>
          <w:color w:val="000000"/>
          <w:u w:val="single"/>
        </w:rPr>
        <w:t>金属管道</w:t>
      </w:r>
      <w:r>
        <w:rPr>
          <w:rFonts w:hint="eastAsia" w:ascii="Times New Roman" w:hAnsi="Times New Roman" w:cs="Times New Roman"/>
          <w:color w:val="000000"/>
        </w:rPr>
        <w:t>内。</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第5.3.4条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室外进、出电子信息系统机房的电源线路不宜采用</w:t>
      </w:r>
      <w:r>
        <w:rPr>
          <w:rFonts w:hint="eastAsia" w:ascii="Times New Roman" w:hAnsi="Times New Roman" w:cs="Times New Roman"/>
          <w:color w:val="000000"/>
          <w:u w:val="single"/>
        </w:rPr>
        <w:t>架空线路</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第5.4.1条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电子信息系统设备由</w:t>
      </w:r>
      <w:r>
        <w:rPr>
          <w:rFonts w:hint="eastAsia" w:ascii="Times New Roman" w:hAnsi="Times New Roman" w:cs="Times New Roman"/>
          <w:color w:val="000000"/>
          <w:u w:val="single"/>
        </w:rPr>
        <w:t>TN交流配电系统</w:t>
      </w:r>
      <w:r>
        <w:rPr>
          <w:rFonts w:hint="eastAsia" w:ascii="Times New Roman" w:hAnsi="Times New Roman" w:cs="Times New Roman"/>
          <w:color w:val="000000"/>
        </w:rPr>
        <w:t>供电时，从建筑物内总配电柜(箱)开始引出的配电线路必须采用</w:t>
      </w:r>
      <w:r>
        <w:rPr>
          <w:rFonts w:hint="eastAsia" w:ascii="Times New Roman" w:hAnsi="Times New Roman" w:cs="Times New Roman"/>
          <w:color w:val="000000"/>
          <w:u w:val="single"/>
        </w:rPr>
        <w:t>TN-S系统</w:t>
      </w:r>
      <w:r>
        <w:rPr>
          <w:rFonts w:hint="eastAsia" w:ascii="Times New Roman" w:hAnsi="Times New Roman" w:cs="Times New Roman"/>
          <w:color w:val="000000"/>
        </w:rPr>
        <w:t>的接地形式。</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第5.4.2条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浪涌保护器应有</w:t>
      </w:r>
      <w:r>
        <w:rPr>
          <w:rFonts w:hint="eastAsia" w:ascii="Times New Roman" w:hAnsi="Times New Roman" w:cs="Times New Roman"/>
          <w:color w:val="000000"/>
          <w:u w:val="single"/>
        </w:rPr>
        <w:t>过电流保护装置</w:t>
      </w:r>
      <w:r>
        <w:rPr>
          <w:rFonts w:hint="eastAsia" w:ascii="Times New Roman" w:hAnsi="Times New Roman" w:cs="Times New Roman"/>
          <w:color w:val="000000"/>
        </w:rPr>
        <w:t>和</w:t>
      </w:r>
      <w:r>
        <w:rPr>
          <w:rFonts w:hint="eastAsia" w:ascii="Times New Roman" w:hAnsi="Times New Roman" w:cs="Times New Roman"/>
          <w:color w:val="000000"/>
          <w:u w:val="single"/>
        </w:rPr>
        <w:t>劣化显示</w:t>
      </w:r>
      <w:r>
        <w:rPr>
          <w:rFonts w:hint="eastAsia" w:ascii="Times New Roman" w:hAnsi="Times New Roman" w:cs="Times New Roman"/>
          <w:color w:val="000000"/>
        </w:rPr>
        <w:t>功能。</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第5.4.3条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电源线路浪涌保护器在各个位置安装时，浪涌保护器的连接导线应</w:t>
      </w:r>
      <w:r>
        <w:rPr>
          <w:rFonts w:hint="eastAsia" w:ascii="Times New Roman" w:hAnsi="Times New Roman" w:cs="Times New Roman"/>
          <w:color w:val="000000"/>
          <w:u w:val="single"/>
        </w:rPr>
        <w:t>短直</w:t>
      </w:r>
      <w:r>
        <w:rPr>
          <w:rFonts w:hint="eastAsia" w:ascii="Times New Roman" w:hAnsi="Times New Roman" w:cs="Times New Roman"/>
          <w:color w:val="000000"/>
        </w:rPr>
        <w:t>，其总长度不宜大于</w:t>
      </w:r>
      <w:r>
        <w:rPr>
          <w:rFonts w:hint="eastAsia" w:ascii="Times New Roman" w:hAnsi="Times New Roman" w:cs="Times New Roman"/>
          <w:color w:val="000000"/>
          <w:u w:val="single"/>
        </w:rPr>
        <w:t>0.5m</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第5.4.3条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人工接地体宜在建筑物四周散水坡外大于</w:t>
      </w:r>
      <w:r>
        <w:rPr>
          <w:rFonts w:hint="eastAsia" w:ascii="Times New Roman" w:hAnsi="Times New Roman" w:cs="Times New Roman"/>
          <w:color w:val="000000"/>
          <w:u w:val="single"/>
        </w:rPr>
        <w:t xml:space="preserve"> 1m </w:t>
      </w:r>
      <w:r>
        <w:rPr>
          <w:rFonts w:hint="eastAsia" w:ascii="Times New Roman" w:hAnsi="Times New Roman" w:cs="Times New Roman"/>
          <w:color w:val="000000"/>
        </w:rPr>
        <w:t xml:space="preserve">处埋设，在土壤中的埋设深度不应小于 </w:t>
      </w:r>
      <w:r>
        <w:rPr>
          <w:rFonts w:hint="eastAsia" w:ascii="Times New Roman" w:hAnsi="Times New Roman" w:cs="Times New Roman"/>
          <w:color w:val="000000"/>
          <w:u w:val="single"/>
        </w:rPr>
        <w:t>0.5m</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第6.2.1条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垂直接地体坑内、水平接地体沟内宜用</w:t>
      </w:r>
      <w:r>
        <w:rPr>
          <w:rFonts w:hint="eastAsia" w:ascii="Times New Roman" w:hAnsi="Times New Roman" w:cs="Times New Roman"/>
          <w:color w:val="000000"/>
          <w:u w:val="single"/>
        </w:rPr>
        <w:t>低电阻率土壤</w:t>
      </w:r>
      <w:r>
        <w:rPr>
          <w:rFonts w:hint="eastAsia" w:ascii="Times New Roman" w:hAnsi="Times New Roman" w:cs="Times New Roman"/>
          <w:color w:val="000000"/>
        </w:rPr>
        <w:t>回填并</w:t>
      </w:r>
      <w:r>
        <w:rPr>
          <w:rFonts w:hint="eastAsia" w:ascii="Times New Roman" w:hAnsi="Times New Roman" w:cs="Times New Roman"/>
          <w:color w:val="000000"/>
          <w:u w:val="single"/>
        </w:rPr>
        <w:t>分层</w:t>
      </w:r>
      <w:r>
        <w:rPr>
          <w:rFonts w:hint="eastAsia" w:ascii="Times New Roman" w:hAnsi="Times New Roman" w:cs="Times New Roman"/>
          <w:color w:val="000000"/>
        </w:rPr>
        <w:t>夯实。</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第6.2.2条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钢质接地体应采用</w:t>
      </w:r>
      <w:r>
        <w:rPr>
          <w:rFonts w:hint="eastAsia" w:ascii="Times New Roman" w:hAnsi="Times New Roman" w:cs="Times New Roman"/>
          <w:color w:val="000000"/>
          <w:u w:val="single"/>
        </w:rPr>
        <w:t>焊接连接</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第6.2.3条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接地线、浪涌保护器连接线转弯时弯角应大于</w:t>
      </w:r>
      <w:r>
        <w:rPr>
          <w:rFonts w:hint="eastAsia" w:ascii="Times New Roman" w:hAnsi="Times New Roman" w:cs="Times New Roman"/>
          <w:color w:val="000000"/>
          <w:u w:val="single"/>
        </w:rPr>
        <w:t xml:space="preserve"> 90 </w:t>
      </w:r>
      <w:r>
        <w:rPr>
          <w:rFonts w:hint="eastAsia" w:ascii="Times New Roman" w:hAnsi="Times New Roman" w:cs="Times New Roman"/>
          <w:color w:val="000000"/>
        </w:rPr>
        <w:t>度，弯曲半径应大于导线直径的</w:t>
      </w:r>
      <w:r>
        <w:rPr>
          <w:rFonts w:hint="eastAsia" w:ascii="Times New Roman" w:hAnsi="Times New Roman" w:cs="Times New Roman"/>
          <w:color w:val="000000"/>
          <w:u w:val="single"/>
        </w:rPr>
        <w:t>10</w:t>
      </w:r>
      <w:r>
        <w:rPr>
          <w:rFonts w:hint="eastAsia" w:ascii="Times New Roman" w:hAnsi="Times New Roman" w:cs="Times New Roman"/>
          <w:color w:val="000000"/>
        </w:rPr>
        <w:t>倍。</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第6.6.4条</w:t>
      </w:r>
    </w:p>
    <w:p>
      <w:pPr>
        <w:pStyle w:val="2"/>
        <w:numPr>
          <w:ilvl w:val="0"/>
          <w:numId w:val="2"/>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当接闪器、杆塔和引下线的锈蚀部位超过截面的</w:t>
      </w:r>
      <w:r>
        <w:rPr>
          <w:rFonts w:hint="eastAsia" w:ascii="Times New Roman" w:hAnsi="Times New Roman" w:cs="Times New Roman"/>
          <w:color w:val="000000"/>
          <w:u w:val="single"/>
        </w:rPr>
        <w:t>三分之一</w:t>
      </w:r>
      <w:r>
        <w:rPr>
          <w:rFonts w:hint="eastAsia" w:ascii="Times New Roman" w:hAnsi="Times New Roman" w:cs="Times New Roman"/>
          <w:color w:val="000000"/>
        </w:rPr>
        <w:t>时，应更换。</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第8.1.5条</w:t>
      </w:r>
    </w:p>
    <w:p>
      <w:pPr>
        <w:numPr>
          <w:numId w:val="0"/>
        </w:numPr>
        <w:rPr>
          <w:rFonts w:hint="eastAsia" w:ascii="黑体" w:hAnsi="黑体" w:eastAsia="黑体" w:cs="黑体"/>
          <w:sz w:val="32"/>
          <w:szCs w:val="40"/>
          <w:lang w:val="en-US" w:eastAsia="zh-CN"/>
        </w:rPr>
      </w:pPr>
    </w:p>
    <w:p>
      <w:pPr>
        <w:numPr>
          <w:numId w:val="0"/>
        </w:numPr>
        <w:ind w:firstLine="320" w:firstLineChars="100"/>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三、单项选择</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hint="eastAsia" w:ascii="黑体" w:hAnsi="黑体" w:eastAsia="黑体" w:cs="黑体"/>
          <w:sz w:val="32"/>
          <w:szCs w:val="40"/>
          <w:lang w:val="en-US" w:eastAsia="zh-CN"/>
        </w:rPr>
        <w:t xml:space="preserve"> </w:t>
      </w:r>
      <w:r>
        <w:rPr>
          <w:rFonts w:hint="eastAsia" w:ascii="Times New Roman" w:hAnsi="Times New Roman" w:cs="Times New Roman"/>
          <w:color w:val="000000"/>
        </w:rPr>
        <w:t>电子信息系统是由</w:t>
      </w:r>
      <w:r>
        <w:rPr>
          <w:rFonts w:ascii="Times New Roman" w:hAnsi="Times New Roman" w:cs="Times New Roman"/>
          <w:color w:val="000000"/>
        </w:rPr>
        <w:t>（    ）、</w:t>
      </w:r>
      <w:r>
        <w:rPr>
          <w:rFonts w:hint="eastAsia" w:ascii="Times New Roman" w:hAnsi="Times New Roman" w:cs="Times New Roman"/>
          <w:color w:val="000000"/>
        </w:rPr>
        <w:t>控制设备</w:t>
      </w:r>
      <w:r>
        <w:rPr>
          <w:rFonts w:ascii="Times New Roman" w:hAnsi="Times New Roman" w:cs="Times New Roman"/>
          <w:color w:val="000000"/>
        </w:rPr>
        <w:t>及</w:t>
      </w:r>
      <w:r>
        <w:rPr>
          <w:rFonts w:hint="eastAsia" w:ascii="Times New Roman" w:hAnsi="Times New Roman" w:cs="Times New Roman"/>
          <w:color w:val="000000"/>
        </w:rPr>
        <w:t>电力电子装置及其相关的配套设备、设施(含网络)等的电子设备构成的，按照一定应用目的和规则对信息进行采集、加工、存储、传输、检索等处理的人机系统。</w:t>
      </w:r>
    </w:p>
    <w:p>
      <w:pPr>
        <w:pStyle w:val="2"/>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计算机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通信设备</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处理设备</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计算机、通信设备、处理设备</w:t>
      </w:r>
    </w:p>
    <w:p>
      <w:pPr>
        <w:pStyle w:val="2"/>
        <w:spacing w:before="0" w:beforeAutospacing="0" w:after="0" w:afterAutospacing="0" w:line="400" w:lineRule="exact"/>
        <w:ind w:firstLine="360" w:firstLineChars="15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外部和内部雷电防护系统的总称。外部防雷由接闪器、引下线和接地装置等组成，用于直击雷的防护。内部防雷由等电位连接、共用接地装置、屏蔽、合理布线、浪涌保护器等组成，用于减小和防止雷电流在需防护空间内所产生的电磁效应。</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综合防雷系统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共用防雷系统</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自然防雷系统</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总等电位防雷系统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第2.0.5条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是将防雷系统的接地装置、建筑物金属构件、低压配电保护线(PE) 、等电位连接端子板或连接带、设备保护地、屏蔽体接地、防静电接地、功能性接地等连接在一起构成共用的接地系统。</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共用接地系统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自然接地系统</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总等电位接地系统</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综合防雷接地系统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第2.0.6条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是兼有接地功能、但不是为此目的而专门设置的与大地有良好接触的各种金属构件、金属井管、混凝土中的钢筋等的统称。</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共用接地体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自然接地体</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总等电位接地体</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综合防雷接地体</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第2.0.7条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是将保护导体、等电位连接导体和工作接地导体与接地装置连接的端子或接地排。</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接地端子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接闪器</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引下线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浪涌保护器</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第2.0.8条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是将多个接地端子连接在一起并直接与接地装置连接金属板。</w:t>
      </w:r>
    </w:p>
    <w:p>
      <w:pPr>
        <w:pStyle w:val="2"/>
        <w:spacing w:before="0" w:beforeAutospacing="0" w:after="0" w:afterAutospacing="0" w:line="400" w:lineRule="exact"/>
        <w:ind w:firstLine="600" w:firstLineChars="2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总等电位接地端子板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楼层等电位接地端子板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局地等电位接地端子板</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等电位连接带</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第2.0.9条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是建筑物内楼层设置的接地端子板，供局部等电位接地端子板作等电位连接用。</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楼层等电位接地端子板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等电位连接带</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局地等电位接地端子板</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总等电位接地端子板</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第2.0.10条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是电子信息系统机房内局部等电位连接网络接地的端子板。</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楼层等电位接地端子板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等电位连接带</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局地等电位接地端子板(排)</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总等电位接地端子板</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第2.0.11条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是用作等电位连接的金属导体。</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楼层等电位接地端子板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等电位连接带</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局地等电位接地端子板(排)</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总等电位接地端子板</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第2.0.13条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是建筑物内用作等电位连接的所有导体和浪涌保护器组成的网络。</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等电位连接网络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等电位连接带</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等电位连接板</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等电位连接排</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第2.0.14条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是这种浪涌保护器在无浪涌时呈现高阻抗，当出现电压浪涌时突变为低阻抗。通常采用放电间隙、气体放电管、晶闸管和三端双向可控硅元件作这类浪涌保护器的组件。</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电压开关型浪涌保护器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电压限制型浪涌保护器</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电流开关型浪涌保护器</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电流限制型浪涌保护器</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第2.0.17条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是这种浪涌保护器在无浪涌时呈现高阻抗，但随浪涌电流和电压的增加其阻抗会不断减小，又称限压型浪涌保护器。用作这类非线性装置的常见器件有压敏电阻和抑制二极管。</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电压开关型浪涌保护器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电压限制型浪涌保护器</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电流开关型浪涌保护器</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电流限制型浪涌保护器</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第2.0.18条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是流过浪涌保护器，具有 8/20μs 波形的电流峰值，用于浪涌保护器的II类试验以及I类、II类试验的预处理试验。</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标称放电电流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最大放电电流</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冲击电流</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限制电流</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第2.0.19条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是流过浪涌保护器，具有 8/20μs 波形的电流峰值，其值按II类动作负载试验的程序确定。I</w:t>
      </w:r>
      <w:r>
        <w:rPr>
          <w:rFonts w:hint="eastAsia" w:ascii="Times New Roman" w:hAnsi="Times New Roman" w:cs="Times New Roman"/>
          <w:color w:val="000000"/>
          <w:vertAlign w:val="subscript"/>
        </w:rPr>
        <w:t>max</w:t>
      </w:r>
      <w:r>
        <w:rPr>
          <w:rFonts w:hint="eastAsia" w:ascii="Times New Roman" w:hAnsi="Times New Roman" w:cs="Times New Roman"/>
          <w:color w:val="000000"/>
        </w:rPr>
        <w:t>大于I</w:t>
      </w:r>
      <w:r>
        <w:rPr>
          <w:rFonts w:hint="eastAsia" w:ascii="Times New Roman" w:hAnsi="Times New Roman" w:cs="Times New Roman"/>
          <w:color w:val="000000"/>
          <w:vertAlign w:val="subscript"/>
        </w:rPr>
        <w:t>n</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标称放电电流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最大放电电流</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冲击电流</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限制电流</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第2.0.20条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是由电流峰值 I</w:t>
      </w:r>
      <w:r>
        <w:rPr>
          <w:rFonts w:hint="eastAsia" w:ascii="Times New Roman" w:hAnsi="Times New Roman" w:cs="Times New Roman"/>
          <w:color w:val="000000"/>
          <w:vertAlign w:val="subscript"/>
        </w:rPr>
        <w:t>peak</w:t>
      </w:r>
      <w:r>
        <w:rPr>
          <w:rFonts w:hint="eastAsia" w:ascii="Times New Roman" w:hAnsi="Times New Roman" w:cs="Times New Roman"/>
          <w:color w:val="000000"/>
        </w:rPr>
        <w:t xml:space="preserve"> 、电荷量Q和比能量 W/R 三个参数定义的电流，用于浪涌保护器的I类试验，典型波形为 10/350μs。</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标称放电电流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最大放电电流</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冲击电流</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限制电流</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第2.0.21条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是可连续施加在浪涌保护器上的最大交流电压有效值或直流电压。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最大持续工作电压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最大放电工作电压</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最大冲击工作电压</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最大限制工作电压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第2.0.22条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是放电电流流过浪涌保护器时，在其端子间的电压峰值。</w:t>
      </w:r>
    </w:p>
    <w:p>
      <w:pPr>
        <w:pStyle w:val="2"/>
        <w:spacing w:before="0" w:beforeAutospacing="0" w:after="0" w:afterAutospacing="0" w:line="400" w:lineRule="exact"/>
        <w:ind w:firstLine="600" w:firstLineChars="25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残压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最大放电电压</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冲击电压</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限制电压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第2.0.23条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是施加规定波形和幅值的冲击时，在浪涌保护器接线端子间测得的最大电压峰值。</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残压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最大放电电压</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冲击电压</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限制电压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第2.0.24条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是表征浪涌保护器限制接线端子间电压的性能参数，该值应大于限制电压的最高值。</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电压保护水平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有效保护水平</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冲击电压保护水平</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限制电压保护水平</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第2.0.25条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是浪涌保护器连接导线的感应电压降与浪涌保护器电压保护水平U</w:t>
      </w:r>
      <w:r>
        <w:rPr>
          <w:rFonts w:hint="eastAsia" w:ascii="Times New Roman" w:hAnsi="Times New Roman" w:cs="Times New Roman"/>
          <w:color w:val="000000"/>
          <w:vertAlign w:val="subscript"/>
        </w:rPr>
        <w:t>p</w:t>
      </w:r>
      <w:r>
        <w:rPr>
          <w:rFonts w:hint="eastAsia" w:ascii="Times New Roman" w:hAnsi="Times New Roman" w:cs="Times New Roman"/>
          <w:color w:val="000000"/>
        </w:rPr>
        <w:t>之和。</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电压保护水平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有效保护水平</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冲击电压保护水平</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限制电压保护水平</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第2.0.26条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是视在波前时间为1. 2μs ，半峰值时间为 50μs 的冲击电压。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1.2/50μs冲击电压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50/1.2μs冲击电压</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12/50μs冲击电压</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50/12μs冲击电压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第2.0.27条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是视在波前时间为8μs ，半峰值时间为 20μs 的冲击电流。</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8/20μs冲击电流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20/8μs冲击电流</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8/20μs冲击电压</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20/8μs冲击电压</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第2.0.28条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由冲击发生器产生，开路时输出1. 2/50μs 冲击电压，短路时输出 8/20μs 冲击电流。提供给浪涌保护器的电压、电流幅值及其波形由冲击发生器和受冲击作用的浪涌保护器的阻抗而定。开路电压峰值和短路电流峰值之比为2Ω，该比值定义为虚拟输出阻抗 Z</w:t>
      </w:r>
      <w:r>
        <w:rPr>
          <w:rFonts w:hint="eastAsia" w:ascii="Times New Roman" w:hAnsi="Times New Roman" w:cs="Times New Roman"/>
          <w:color w:val="000000"/>
          <w:vertAlign w:val="subscript"/>
        </w:rPr>
        <w:t>f</w:t>
      </w:r>
      <w:r>
        <w:rPr>
          <w:rFonts w:hint="eastAsia" w:ascii="Times New Roman" w:hAnsi="Times New Roman" w:cs="Times New Roman"/>
          <w:color w:val="000000"/>
        </w:rPr>
        <w:t>， 短路电流用符号 I</w:t>
      </w:r>
      <w:r>
        <w:rPr>
          <w:rFonts w:hint="eastAsia" w:ascii="Times New Roman" w:hAnsi="Times New Roman" w:cs="Times New Roman"/>
          <w:color w:val="000000"/>
          <w:vertAlign w:val="subscript"/>
        </w:rPr>
        <w:t>sc</w:t>
      </w:r>
      <w:r>
        <w:rPr>
          <w:rFonts w:hint="eastAsia" w:ascii="Times New Roman" w:hAnsi="Times New Roman" w:cs="Times New Roman"/>
          <w:color w:val="000000"/>
        </w:rPr>
        <w:t xml:space="preserve"> 表示，开路电压用符号U</w:t>
      </w:r>
      <w:r>
        <w:rPr>
          <w:rFonts w:hint="eastAsia" w:ascii="Times New Roman" w:hAnsi="Times New Roman" w:cs="Times New Roman"/>
          <w:color w:val="000000"/>
          <w:vertAlign w:val="subscript"/>
        </w:rPr>
        <w:t>oc</w:t>
      </w:r>
      <w:r>
        <w:rPr>
          <w:rFonts w:hint="eastAsia" w:ascii="Times New Roman" w:hAnsi="Times New Roman" w:cs="Times New Roman"/>
          <w:color w:val="000000"/>
        </w:rPr>
        <w:t xml:space="preserve"> 表示。</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复合波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冲击波</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脉冲波</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电流波</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第2.0.29条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是传输系统中插入一个浪涌保护器所引起的损耗，其值等于浪涌保护器插入前后的功率比。插入损耗常用分贝 (dB)来表示。</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插入损耗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并联损耗</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串联损耗</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直接损耗</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第2.0.33条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是由于浪涌、使用或不利环境的影响造成浪涌保护器原始性能参数的变化。</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损耗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优化</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劣化</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直接损耗</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第2.0.34条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是利用放热化学反应时快速产生超高热量，使两导体熔化成一体的连接方法。</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热弧焊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熔焊</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热熔焊</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弧焊</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第2.0.35条</w:t>
      </w:r>
    </w:p>
    <w:p>
      <w:pPr>
        <w:pStyle w:val="2"/>
        <w:numPr>
          <w:ilvl w:val="0"/>
          <w:numId w:val="3"/>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是雷击导致的年平均可能损失(人和物)与受保护对象的总价值(人和物)之比。</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雷击风险评估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雷击损害风险</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雷击直接风险</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雷击间接风险</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第2.0.36条</w:t>
      </w:r>
    </w:p>
    <w:p>
      <w:pPr>
        <w:numPr>
          <w:numId w:val="0"/>
        </w:numPr>
        <w:ind w:leftChars="0"/>
        <w:rPr>
          <w:rFonts w:hint="eastAsia" w:ascii="黑体" w:hAnsi="黑体" w:eastAsia="黑体" w:cs="黑体"/>
          <w:sz w:val="32"/>
          <w:szCs w:val="40"/>
          <w:lang w:val="en-US" w:eastAsia="zh-CN"/>
        </w:rPr>
      </w:pPr>
    </w:p>
    <w:p>
      <w:pPr>
        <w:numPr>
          <w:ilvl w:val="0"/>
          <w:numId w:val="4"/>
        </w:numPr>
        <w:ind w:left="480" w:leftChars="0" w:firstLine="0" w:firstLineChars="0"/>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多项选择</w:t>
      </w:r>
    </w:p>
    <w:p>
      <w:pPr>
        <w:pStyle w:val="2"/>
        <w:numPr>
          <w:ilvl w:val="0"/>
          <w:numId w:val="5"/>
        </w:numPr>
        <w:spacing w:before="0" w:beforeAutospacing="0" w:after="0" w:afterAutospacing="0" w:line="400" w:lineRule="exact"/>
        <w:rPr>
          <w:rFonts w:ascii="Times New Roman" w:hAnsi="Times New Roman"/>
          <w:color w:val="000000"/>
        </w:rPr>
      </w:pPr>
      <w:r>
        <w:rPr>
          <w:rFonts w:hint="eastAsia" w:ascii="Times New Roman" w:hAnsi="Times New Roman"/>
          <w:color w:val="000000"/>
        </w:rPr>
        <w:t>根据</w:t>
      </w:r>
      <w:r>
        <w:rPr>
          <w:rFonts w:ascii="Times New Roman" w:hAnsi="Times New Roman"/>
          <w:color w:val="000000"/>
        </w:rPr>
        <w:t xml:space="preserve">GB </w:t>
      </w:r>
      <w:r>
        <w:rPr>
          <w:rFonts w:hint="eastAsia" w:ascii="Times New Roman" w:hAnsi="Times New Roman"/>
          <w:color w:val="000000"/>
        </w:rPr>
        <w:t>50343-2012《建筑物电子信息系统防雷技术规范</w:t>
      </w:r>
      <w:r>
        <w:rPr>
          <w:rFonts w:ascii="Times New Roman" w:hAnsi="Times New Roman"/>
          <w:color w:val="000000"/>
        </w:rPr>
        <w:t>》</w:t>
      </w:r>
      <w:r>
        <w:rPr>
          <w:rFonts w:hint="eastAsia" w:ascii="Times New Roman" w:hAnsi="Times New Roman"/>
          <w:color w:val="000000"/>
        </w:rPr>
        <w:t>，通信接入网和电话交换系统的防雷与接地应符合的规定是什么？</w:t>
      </w:r>
      <w:r>
        <w:rPr>
          <w:rFonts w:ascii="Times New Roman" w:hAnsi="Times New Roman"/>
          <w:color w:val="000000"/>
        </w:rPr>
        <w:t xml:space="preserve"> </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有线电话通信用户交换机设备金属芯信号线路，应根据总配线架所连接的中继线及用户线的接口形式选择适配的信号线路浪涌保护器;</w:t>
      </w:r>
      <w:r>
        <w:rPr>
          <w:rFonts w:ascii="Times New Roman" w:hAnsi="Times New Roman" w:eastAsia="宋体" w:cs="Times New Roman"/>
          <w:sz w:val="24"/>
          <w:szCs w:val="24"/>
        </w:rPr>
        <w:t xml:space="preserve"> </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浪涌保护器的接地端应与配线架接地端相连，配线架的接地线应采用截面积不小于 16mm 的多股铜线接至等电位接地端子板上;</w:t>
      </w:r>
      <w:r>
        <w:rPr>
          <w:rFonts w:ascii="Times New Roman" w:hAnsi="Times New Roman" w:eastAsia="宋体" w:cs="Times New Roman"/>
          <w:sz w:val="24"/>
          <w:szCs w:val="24"/>
        </w:rPr>
        <w:t xml:space="preserve"> </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通信设备机柜、机房电源配电箱等的接地线应就近接至机房的局部等电位接地端子板上;</w:t>
      </w:r>
      <w:r>
        <w:rPr>
          <w:rFonts w:ascii="Times New Roman" w:hAnsi="Times New Roman" w:eastAsia="宋体" w:cs="Times New Roman"/>
          <w:sz w:val="24"/>
          <w:szCs w:val="24"/>
        </w:rPr>
        <w:t xml:space="preserve"> </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引人建筑物的室外铜缆宜穿钢管敷设，钢管两端应接地。</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ABCD</w:t>
      </w:r>
    </w:p>
    <w:p>
      <w:pPr>
        <w:pStyle w:val="5"/>
        <w:spacing w:line="400" w:lineRule="exact"/>
        <w:ind w:left="400" w:firstLine="0" w:firstLineChars="0"/>
        <w:jc w:val="left"/>
        <w:rPr>
          <w:rFonts w:hint="eastAsia"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第5.5.1条</w:t>
      </w:r>
    </w:p>
    <w:p>
      <w:pPr>
        <w:pStyle w:val="2"/>
        <w:numPr>
          <w:ilvl w:val="0"/>
          <w:numId w:val="5"/>
        </w:numPr>
        <w:spacing w:before="0" w:beforeAutospacing="0" w:after="0" w:afterAutospacing="0" w:line="400" w:lineRule="exact"/>
        <w:rPr>
          <w:rFonts w:ascii="Times New Roman" w:hAnsi="Times New Roman"/>
          <w:color w:val="000000"/>
        </w:rPr>
      </w:pPr>
      <w:r>
        <w:rPr>
          <w:rFonts w:hint="eastAsia" w:ascii="Times New Roman" w:hAnsi="Times New Roman" w:cs="Times New Roman"/>
          <w:color w:val="000000"/>
        </w:rPr>
        <w:t>根据</w:t>
      </w:r>
      <w:r>
        <w:rPr>
          <w:rFonts w:ascii="Times New Roman" w:hAnsi="Times New Roman"/>
          <w:color w:val="000000"/>
        </w:rPr>
        <w:t xml:space="preserve">GB </w:t>
      </w:r>
      <w:r>
        <w:rPr>
          <w:rFonts w:hint="eastAsia" w:ascii="Times New Roman" w:hAnsi="Times New Roman"/>
          <w:color w:val="000000"/>
        </w:rPr>
        <w:t>50343-2012《建筑物电子信息系统防雷技术规范</w:t>
      </w:r>
      <w:r>
        <w:rPr>
          <w:rFonts w:ascii="Times New Roman" w:hAnsi="Times New Roman"/>
          <w:color w:val="000000"/>
        </w:rPr>
        <w:t>》</w:t>
      </w:r>
      <w:r>
        <w:rPr>
          <w:rFonts w:hint="eastAsia" w:ascii="Times New Roman" w:hAnsi="Times New Roman"/>
          <w:color w:val="000000"/>
        </w:rPr>
        <w:t>，电子信息系统设备机房的屏蔽应符合的规定是什么？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建筑物的屏蔽宜利用建筑物的金属框架、混凝土中的钢筋、金属墙面、金属屋顶等自然金属部件与防雷装置连接构成格栅型大空间屏蔽;</w:t>
      </w:r>
      <w:r>
        <w:rPr>
          <w:rFonts w:ascii="Times New Roman" w:hAnsi="Times New Roman" w:eastAsia="宋体" w:cs="Times New Roman"/>
          <w:sz w:val="24"/>
          <w:szCs w:val="24"/>
        </w:rPr>
        <w:t xml:space="preserve"> </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当建筑物自然金属部件构成的大空间屏蔽不能满足机房内电子信息系统电磁环境要求时，应增加机房屏蔽措施;</w:t>
      </w:r>
      <w:r>
        <w:rPr>
          <w:rFonts w:ascii="Times New Roman" w:hAnsi="Times New Roman" w:eastAsia="宋体" w:cs="Times New Roman"/>
          <w:sz w:val="24"/>
          <w:szCs w:val="24"/>
        </w:rPr>
        <w:t xml:space="preserve"> </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电子信息系统设备主机房宜选择在建筑物低层中心部位，其设备应配置在 LPZ0区之后的后续防雷区内，并与相应的雷电防护区屏蔽体及结构柱留有一定的安全距离；</w:t>
      </w:r>
      <w:r>
        <w:rPr>
          <w:rFonts w:ascii="Times New Roman" w:hAnsi="Times New Roman" w:eastAsia="宋体" w:cs="Times New Roman"/>
          <w:sz w:val="24"/>
          <w:szCs w:val="24"/>
        </w:rPr>
        <w:t xml:space="preserve"> </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屏蔽效果及安全距离可按GB50343–2012附录规定的计算方法确定。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第4.2.5条</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根据GB 50343-2012《建筑物电子信息系统防雷技术规范》保护的电子信息系统必须采取哪些综合防护措施？（    ）</w:t>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A.防雷电波侵入</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B.</w:t>
      </w:r>
      <w:r>
        <w:rPr>
          <w:rFonts w:ascii="Times New Roman" w:hAnsi="Times New Roman" w:eastAsia="宋体" w:cs="Times New Roman"/>
          <w:color w:val="000000"/>
          <w:sz w:val="24"/>
          <w:szCs w:val="24"/>
        </w:rPr>
        <w:t>等电位连接</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C.外部防雷措施</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D.内部防雷措施</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：CD</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50343-2012《建筑物电子信息系统防雷技术规范》第1.0.5条</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bCs/>
          <w:color w:val="000000"/>
        </w:rPr>
        <w:t>综合防雷系统</w:t>
      </w:r>
      <w:r>
        <w:rPr>
          <w:rFonts w:ascii="Times New Roman" w:hAnsi="Times New Roman" w:cs="Times New Roman"/>
          <w:color w:val="000000"/>
        </w:rPr>
        <w:t>是用于减少闪击击于建筑物上或建筑物附近造成的物质性损害和人身伤亡，由（    ）组成。</w:t>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A.外部雷电防护系统</w:t>
      </w:r>
      <w:r>
        <w:rPr>
          <w:rFonts w:ascii="Times New Roman" w:hAnsi="Times New Roman" w:eastAsia="宋体" w:cs="Times New Roman"/>
          <w:color w:val="000000"/>
          <w:sz w:val="24"/>
          <w:szCs w:val="24"/>
        </w:rPr>
        <w:tab/>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B.内部雷电防护系统</w:t>
      </w:r>
      <w:r>
        <w:rPr>
          <w:rFonts w:ascii="Times New Roman" w:hAnsi="Times New Roman" w:eastAsia="宋体" w:cs="Times New Roman"/>
          <w:color w:val="000000"/>
          <w:sz w:val="24"/>
          <w:szCs w:val="24"/>
        </w:rPr>
        <w:tab/>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C.接闪器</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D.接地装置</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bCs/>
          <w:color w:val="000000"/>
          <w:sz w:val="24"/>
          <w:szCs w:val="24"/>
        </w:rPr>
        <w:t>答案</w:t>
      </w:r>
      <w:r>
        <w:rPr>
          <w:rFonts w:ascii="Times New Roman" w:hAnsi="Times New Roman" w:eastAsia="宋体" w:cs="Times New Roman"/>
          <w:bCs/>
          <w:color w:val="000000"/>
          <w:sz w:val="24"/>
          <w:szCs w:val="24"/>
        </w:rPr>
        <w:t>：A</w:t>
      </w:r>
      <w:r>
        <w:rPr>
          <w:rFonts w:ascii="Times New Roman" w:hAnsi="Times New Roman" w:eastAsia="宋体" w:cs="Times New Roman"/>
          <w:color w:val="000000"/>
          <w:sz w:val="24"/>
          <w:szCs w:val="24"/>
        </w:rPr>
        <w:t>B</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 xml:space="preserve">：GB 50343-2012《建筑物电子信息系统防雷技术规范》第2.0.5条 </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电涌保护器的作用有（    ）。</w:t>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A.残压保护</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B.泄漏电流保护</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C.过电流保护</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D.过电压保护</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bCs/>
          <w:color w:val="000000"/>
          <w:sz w:val="24"/>
          <w:szCs w:val="24"/>
        </w:rPr>
        <w:t>答案</w:t>
      </w:r>
      <w:r>
        <w:rPr>
          <w:rFonts w:ascii="Times New Roman" w:hAnsi="Times New Roman" w:eastAsia="宋体" w:cs="Times New Roman"/>
          <w:bCs/>
          <w:color w:val="000000"/>
          <w:sz w:val="24"/>
          <w:szCs w:val="24"/>
        </w:rPr>
        <w:t>：C</w:t>
      </w:r>
      <w:r>
        <w:rPr>
          <w:rFonts w:ascii="Times New Roman" w:hAnsi="Times New Roman" w:eastAsia="宋体" w:cs="Times New Roman"/>
          <w:color w:val="000000"/>
          <w:sz w:val="24"/>
          <w:szCs w:val="24"/>
        </w:rPr>
        <w:t>D</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50343-2012《建筑物电子信息系统防雷技术规范》第2.0.16条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电压限制型浪涌保护器常见器件（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A.压敏电阻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B.放电间隙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C.抑制二极管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D.气体放电管  </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E.晶闸管和三端双向可控硅</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：AC</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50343-2012《建筑物电子信息系统防雷技术规范》第2.0.18条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浪涌保护器</w:t>
      </w:r>
      <w:r>
        <w:rPr>
          <w:rFonts w:hint="eastAsia" w:ascii="宋体" w:hAnsi="宋体" w:eastAsia="宋体" w:cs="宋体"/>
          <w:color w:val="000000"/>
          <w:sz w:val="24"/>
          <w:szCs w:val="24"/>
        </w:rPr>
        <w:t>Ⅰ</w:t>
      </w:r>
      <w:r>
        <w:rPr>
          <w:rFonts w:ascii="Times New Roman" w:hAnsi="Times New Roman" w:eastAsia="宋体" w:cs="Times New Roman"/>
          <w:color w:val="000000"/>
          <w:sz w:val="24"/>
          <w:szCs w:val="24"/>
        </w:rPr>
        <w:t>级分类实验所需测试项目（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A.1.2/50冲击电压  </w:t>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B.8/20冲击电压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C.标称放电电流I</w:t>
      </w:r>
      <w:r>
        <w:rPr>
          <w:rFonts w:ascii="Times New Roman" w:hAnsi="Times New Roman" w:eastAsia="宋体" w:cs="Times New Roman"/>
          <w:color w:val="000000"/>
          <w:sz w:val="24"/>
          <w:szCs w:val="24"/>
          <w:vertAlign w:val="subscript"/>
        </w:rPr>
        <w:t>n</w:t>
      </w:r>
      <w:r>
        <w:rPr>
          <w:rFonts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D.冲击电流I</w:t>
      </w:r>
      <w:r>
        <w:rPr>
          <w:rFonts w:ascii="Times New Roman" w:hAnsi="Times New Roman" w:eastAsia="宋体" w:cs="Times New Roman"/>
          <w:color w:val="000000"/>
          <w:sz w:val="24"/>
          <w:szCs w:val="24"/>
          <w:vertAlign w:val="subscript"/>
        </w:rPr>
        <w:t>imp</w:t>
      </w:r>
      <w:r>
        <w:rPr>
          <w:rFonts w:ascii="Times New Roman" w:hAnsi="Times New Roman" w:eastAsia="宋体" w:cs="Times New Roman"/>
          <w:color w:val="000000"/>
          <w:sz w:val="24"/>
          <w:szCs w:val="24"/>
        </w:rPr>
        <w:t xml:space="preserve">  </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E.最大放电电流I</w:t>
      </w:r>
      <w:r>
        <w:rPr>
          <w:rFonts w:ascii="Times New Roman" w:hAnsi="Times New Roman" w:eastAsia="宋体" w:cs="Times New Roman"/>
          <w:color w:val="000000"/>
          <w:sz w:val="24"/>
          <w:szCs w:val="24"/>
          <w:vertAlign w:val="subscript"/>
        </w:rPr>
        <w:t>max</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：ACD</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50343-2012《建筑物电子信息系统防雷技术规范》第2.0.30条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地区雷暴日等级宜划分为 （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A.少雷区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B.中雷区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C.多雷区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D.强雷区</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：ABCD</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50343-2012《建筑物电子信息系统防雷技术规范》第3.1.3条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以下</w:t>
      </w:r>
      <w:r>
        <w:rPr>
          <w:rFonts w:ascii="Times New Roman" w:hAnsi="Times New Roman" w:eastAsia="黑体" w:cs="Times New Roman"/>
          <w:color w:val="000000"/>
          <w:sz w:val="24"/>
          <w:szCs w:val="24"/>
        </w:rPr>
        <w:t>哪些</w:t>
      </w:r>
      <w:r>
        <w:rPr>
          <w:rFonts w:ascii="Times New Roman" w:hAnsi="Times New Roman" w:eastAsia="宋体" w:cs="Times New Roman"/>
          <w:color w:val="000000"/>
          <w:sz w:val="24"/>
          <w:szCs w:val="24"/>
        </w:rPr>
        <w:t>是按防护装置拦截效率E的计算公式E＝1－N</w:t>
      </w:r>
      <w:r>
        <w:rPr>
          <w:rFonts w:ascii="Times New Roman" w:hAnsi="Times New Roman" w:eastAsia="宋体" w:cs="Times New Roman"/>
          <w:color w:val="000000"/>
          <w:sz w:val="24"/>
          <w:szCs w:val="24"/>
          <w:vertAlign w:val="subscript"/>
        </w:rPr>
        <w:t>C</w:t>
      </w:r>
      <w:r>
        <w:rPr>
          <w:rFonts w:ascii="Times New Roman" w:hAnsi="Times New Roman" w:eastAsia="宋体" w:cs="Times New Roman"/>
          <w:color w:val="000000"/>
          <w:sz w:val="24"/>
          <w:szCs w:val="24"/>
        </w:rPr>
        <w:t>/N确定其雷电防护等级</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A.当E＞0.98时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B.当0.90＜E≤0.98时</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C.当0.80＜E≤0.90时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D.当E≤0.80时</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：ABCD</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50343-2012《建筑物电子信息系统防雷技术规范》第4.2.5条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建筑物电子信息系统可根据（    ）确定雷电防护等级。</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A.重要性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B.价值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C.发生雷电事故的可能性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D.使用性质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：ABD</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50343-2012《建筑物电子信息系统防雷技术规范》第4.3.1条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需要保护的电子信息系统必须采取哪些措施（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A.直击雷防护措施</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B.等电位连接措施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C.接地保护措施</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D.风险评估措施</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kern w:val="0"/>
          <w:sz w:val="24"/>
          <w:szCs w:val="24"/>
        </w:rPr>
        <w:t>答案</w:t>
      </w:r>
      <w:r>
        <w:rPr>
          <w:rFonts w:ascii="Times New Roman" w:hAnsi="Times New Roman" w:eastAsia="宋体" w:cs="Times New Roman"/>
          <w:color w:val="000000"/>
          <w:kern w:val="0"/>
          <w:sz w:val="24"/>
          <w:szCs w:val="24"/>
        </w:rPr>
        <w:t>：</w:t>
      </w:r>
      <w:r>
        <w:rPr>
          <w:rFonts w:ascii="Times New Roman" w:hAnsi="Times New Roman" w:eastAsia="宋体" w:cs="Times New Roman"/>
          <w:color w:val="000000"/>
          <w:sz w:val="24"/>
          <w:szCs w:val="24"/>
        </w:rPr>
        <w:t>BC</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kern w:val="0"/>
          <w:sz w:val="24"/>
          <w:szCs w:val="24"/>
        </w:rPr>
        <w:t>解析</w:t>
      </w:r>
      <w:r>
        <w:rPr>
          <w:rFonts w:ascii="Times New Roman" w:hAnsi="Times New Roman" w:eastAsia="宋体" w:cs="Times New Roman"/>
          <w:color w:val="000000"/>
          <w:sz w:val="24"/>
          <w:szCs w:val="24"/>
        </w:rPr>
        <w:t>：GB 50343-2012《建筑物电子信息系统防雷技术规范》第5.1.2条</w:t>
      </w:r>
    </w:p>
    <w:p>
      <w:pPr>
        <w:numPr>
          <w:ilvl w:val="0"/>
          <w:numId w:val="5"/>
        </w:numPr>
        <w:spacing w:line="400" w:lineRule="exact"/>
        <w:jc w:val="left"/>
        <w:rPr>
          <w:rFonts w:ascii="Times New Roman" w:hAnsi="Times New Roman" w:eastAsia="宋体" w:cs="Times New Roman"/>
          <w:color w:val="000000"/>
          <w:sz w:val="24"/>
          <w:szCs w:val="24"/>
          <w:shd w:val="clear" w:color="auto" w:fill="FFFFFF"/>
        </w:rPr>
      </w:pPr>
      <w:r>
        <w:rPr>
          <w:rFonts w:ascii="Times New Roman" w:hAnsi="Times New Roman" w:eastAsia="宋体" w:cs="Times New Roman"/>
          <w:color w:val="000000"/>
          <w:sz w:val="24"/>
          <w:szCs w:val="24"/>
        </w:rPr>
        <w:t>电子信息系统检测的检测内容包括（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A.等电位连接系统</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vertAlign w:val="subscript"/>
        </w:rPr>
      </w:pPr>
      <w:r>
        <w:rPr>
          <w:rFonts w:ascii="Times New Roman" w:hAnsi="Times New Roman" w:eastAsia="宋体" w:cs="Times New Roman"/>
          <w:color w:val="000000"/>
          <w:sz w:val="24"/>
          <w:szCs w:val="24"/>
        </w:rPr>
        <w:t>B.屏蔽系统</w:t>
      </w:r>
      <w:r>
        <w:rPr>
          <w:rFonts w:ascii="Times New Roman" w:hAnsi="Times New Roman" w:eastAsia="宋体" w:cs="Times New Roman"/>
          <w:color w:val="000000"/>
          <w:sz w:val="24"/>
          <w:szCs w:val="24"/>
          <w:vertAlign w:val="subscript"/>
        </w:rPr>
        <w:tab/>
      </w:r>
      <w:r>
        <w:rPr>
          <w:rFonts w:ascii="Times New Roman" w:hAnsi="Times New Roman" w:eastAsia="宋体" w:cs="Times New Roman"/>
          <w:color w:val="000000"/>
          <w:sz w:val="24"/>
          <w:szCs w:val="24"/>
          <w:vertAlign w:val="subscript"/>
        </w:rPr>
        <w:tab/>
      </w:r>
      <w:r>
        <w:rPr>
          <w:rFonts w:ascii="Times New Roman" w:hAnsi="Times New Roman" w:eastAsia="宋体" w:cs="Times New Roman"/>
          <w:color w:val="000000"/>
          <w:sz w:val="24"/>
          <w:szCs w:val="24"/>
          <w:vertAlign w:val="subscript"/>
        </w:rPr>
        <w:tab/>
      </w:r>
      <w:r>
        <w:rPr>
          <w:rFonts w:ascii="Times New Roman" w:hAnsi="Times New Roman" w:eastAsia="宋体" w:cs="Times New Roman"/>
          <w:color w:val="000000"/>
          <w:sz w:val="24"/>
          <w:szCs w:val="24"/>
          <w:vertAlign w:val="subscript"/>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C.合理布线系统</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D.电涌保护器</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：ABCD</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sz w:val="24"/>
          <w:szCs w:val="24"/>
        </w:rPr>
        <w:t>解析</w:t>
      </w:r>
      <w:r>
        <w:rPr>
          <w:rFonts w:ascii="Times New Roman" w:hAnsi="Times New Roman" w:eastAsia="宋体" w:cs="Times New Roman"/>
          <w:sz w:val="24"/>
          <w:szCs w:val="24"/>
        </w:rPr>
        <w:t>：</w:t>
      </w:r>
      <w:r>
        <w:rPr>
          <w:rFonts w:ascii="Times New Roman" w:hAnsi="Times New Roman" w:eastAsia="宋体" w:cs="Times New Roman"/>
          <w:color w:val="000000"/>
          <w:sz w:val="24"/>
          <w:szCs w:val="24"/>
        </w:rPr>
        <w:t>GB 50343 -2010《建筑物电子信息系统防雷技术规范》第5.1.3条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建筑物电子信息系统应根据需要保护的设备数量、类型、重要性、耐冲击电压额定值及所要求的电磁场环境等情况选择下列雷电电磁脉冲的防护措施（    ）。</w:t>
      </w:r>
    </w:p>
    <w:p>
      <w:pPr>
        <w:spacing w:line="400" w:lineRule="exact"/>
        <w:ind w:firstLine="523" w:firstLineChars="218"/>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A.等电位连接和接地</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523" w:firstLineChars="218"/>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B.电磁屏蔽</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523" w:firstLineChars="218"/>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C.合理布线</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523" w:firstLineChars="218"/>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D.能量配合的浪涌保护器防护</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kern w:val="0"/>
          <w:sz w:val="24"/>
          <w:szCs w:val="24"/>
        </w:rPr>
        <w:t>答案</w:t>
      </w:r>
      <w:r>
        <w:rPr>
          <w:rFonts w:ascii="Times New Roman" w:hAnsi="Times New Roman" w:eastAsia="宋体" w:cs="Times New Roman"/>
          <w:color w:val="000000"/>
          <w:kern w:val="0"/>
          <w:sz w:val="24"/>
          <w:szCs w:val="24"/>
        </w:rPr>
        <w:t>：</w:t>
      </w:r>
      <w:r>
        <w:rPr>
          <w:rFonts w:ascii="Times New Roman" w:hAnsi="Times New Roman" w:eastAsia="宋体" w:cs="Times New Roman"/>
          <w:color w:val="000000"/>
          <w:sz w:val="24"/>
          <w:szCs w:val="24"/>
        </w:rPr>
        <w:t>ABCD</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kern w:val="0"/>
          <w:sz w:val="24"/>
          <w:szCs w:val="24"/>
        </w:rPr>
        <w:t>解析</w:t>
      </w:r>
      <w:r>
        <w:rPr>
          <w:rFonts w:ascii="Times New Roman" w:hAnsi="Times New Roman" w:eastAsia="宋体" w:cs="Times New Roman"/>
          <w:color w:val="000000"/>
          <w:sz w:val="24"/>
          <w:szCs w:val="24"/>
        </w:rPr>
        <w:t>：GB 50343-2012《建筑物电子信息系统防雷技术规范》第5.1.3条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信息系统的金属部件与建筑物的共用接地系统的等电位连接有（    ）方法。</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A.S型（星型）    </w:t>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B.M型（网格型）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C.组合型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D.复合型</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：ABC</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50343-2012《建筑物电子信息系统防雷技术规范》第5.2.1条</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计算机网络的（    ）等均应与局部等电位网络连接。</w:t>
      </w:r>
    </w:p>
    <w:p>
      <w:pPr>
        <w:tabs>
          <w:tab w:val="left" w:pos="645"/>
        </w:tabs>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A.安全保护接地</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tabs>
          <w:tab w:val="left" w:pos="645"/>
        </w:tabs>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B.</w:t>
      </w:r>
      <w:r>
        <w:rPr>
          <w:rFonts w:ascii="Times New Roman" w:hAnsi="Times New Roman" w:eastAsia="宋体" w:cs="Times New Roman"/>
          <w:color w:val="000000"/>
          <w:sz w:val="24"/>
          <w:szCs w:val="24"/>
        </w:rPr>
        <w:t>屏蔽接地</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tabs>
          <w:tab w:val="left" w:pos="645"/>
        </w:tabs>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C.信号工作地</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tabs>
          <w:tab w:val="left" w:pos="645"/>
        </w:tabs>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D.防静电接地</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：ABCD</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50343-2012《建筑物电子信息系统防雷技术规范》第5.2.2条</w:t>
      </w:r>
      <w:r>
        <w:rPr>
          <w:rFonts w:hint="eastAsia" w:ascii="Times New Roman" w:hAnsi="Times New Roman" w:eastAsia="宋体" w:cs="Times New Roman"/>
          <w:color w:val="000000"/>
          <w:sz w:val="24"/>
          <w:szCs w:val="24"/>
        </w:rPr>
        <w:t>第2款</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电子信息系统的接地类型有（    ）。</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.防雷接地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B</w:t>
      </w:r>
      <w:r>
        <w:rPr>
          <w:rFonts w:ascii="Times New Roman" w:hAnsi="Times New Roman" w:cs="Times New Roman"/>
          <w:color w:val="000000"/>
        </w:rPr>
        <w:t xml:space="preserve">.交流工作接地  </w:t>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C</w:t>
      </w:r>
      <w:r>
        <w:rPr>
          <w:rFonts w:ascii="Times New Roman" w:hAnsi="Times New Roman" w:cs="Times New Roman"/>
          <w:color w:val="000000"/>
        </w:rPr>
        <w:t xml:space="preserve">.直流工作接地    </w:t>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D</w:t>
      </w:r>
      <w:r>
        <w:rPr>
          <w:rFonts w:ascii="Times New Roman" w:hAnsi="Times New Roman" w:cs="Times New Roman"/>
          <w:color w:val="000000"/>
        </w:rPr>
        <w:t>.安全保护接地</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ascii="Times New Roman" w:hAnsi="Times New Roman" w:eastAsia="方正楷体_GBK" w:cs="Times New Roman"/>
          <w:color w:val="000000"/>
        </w:rPr>
        <w:t>ABCD</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 50343-2012 《建筑物电子信息系统防雷技术规范》第5.2.5 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机房设备接地线不应从（    ）直接引入。</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A.接闪带</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B.铁塔</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C.防雷引下线</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D.等电位接地排</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kern w:val="0"/>
          <w:sz w:val="24"/>
          <w:szCs w:val="24"/>
        </w:rPr>
        <w:t>答案</w:t>
      </w:r>
      <w:r>
        <w:rPr>
          <w:rFonts w:ascii="Times New Roman" w:hAnsi="Times New Roman" w:eastAsia="宋体" w:cs="Times New Roman"/>
          <w:color w:val="000000"/>
          <w:kern w:val="0"/>
          <w:sz w:val="24"/>
          <w:szCs w:val="24"/>
        </w:rPr>
        <w:t>：</w:t>
      </w:r>
      <w:r>
        <w:rPr>
          <w:rFonts w:ascii="Times New Roman" w:hAnsi="Times New Roman" w:eastAsia="宋体" w:cs="Times New Roman"/>
          <w:color w:val="000000"/>
          <w:sz w:val="24"/>
          <w:szCs w:val="24"/>
        </w:rPr>
        <w:t>ABC</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kern w:val="0"/>
          <w:sz w:val="24"/>
          <w:szCs w:val="24"/>
        </w:rPr>
        <w:t>解析</w:t>
      </w:r>
      <w:r>
        <w:rPr>
          <w:rFonts w:ascii="Times New Roman" w:hAnsi="Times New Roman" w:eastAsia="宋体" w:cs="Times New Roman"/>
          <w:color w:val="000000"/>
          <w:sz w:val="24"/>
          <w:szCs w:val="24"/>
        </w:rPr>
        <w:t>：GB 50343-2012《建筑物电子信息系统防雷技术规范》第5.2.7条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为减小雷电电磁脉冲在电子信息系统内产生的浪涌，宜采用（    ）措施，这些措施应综合使用。</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A.建筑物屏蔽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B.机房屏蔽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C.设备屏蔽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D.线缆屏蔽  </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E.线缆合理布设</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：ABCDE</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 xml:space="preserve">：GB 50343-2012《建筑物电子信息系统防雷技术规范》第5.3.1条 </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电子信息系统户外的交流供电线路、视频信号线路、控制信号线路的屏蔽应（    ）。</w:t>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A.金属屏蔽层穿钢管埋地敷设</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B.屏蔽层及钢管两端应接地</w:t>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C.信号线路与供电线路分开敷设</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D.信号线路与供电线路可一起敷设</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bCs/>
          <w:color w:val="000000"/>
          <w:sz w:val="24"/>
          <w:szCs w:val="24"/>
        </w:rPr>
        <w:t>答案</w:t>
      </w:r>
      <w:r>
        <w:rPr>
          <w:rFonts w:ascii="Times New Roman" w:hAnsi="Times New Roman" w:eastAsia="宋体" w:cs="Times New Roman"/>
          <w:bCs/>
          <w:color w:val="000000"/>
          <w:sz w:val="24"/>
          <w:szCs w:val="24"/>
        </w:rPr>
        <w:t>：A</w:t>
      </w:r>
      <w:r>
        <w:rPr>
          <w:rFonts w:ascii="Times New Roman" w:hAnsi="Times New Roman" w:eastAsia="宋体" w:cs="Times New Roman"/>
          <w:color w:val="000000"/>
          <w:sz w:val="24"/>
          <w:szCs w:val="24"/>
        </w:rPr>
        <w:t>BC</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50343-2012《建筑物电子信息系统防雷技术规范》第5.3.4条</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电子信息系统浪涌保护器设置级数应综合考虑（    ）等因素。</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.保护距离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B</w:t>
      </w:r>
      <w:r>
        <w:rPr>
          <w:rFonts w:ascii="Times New Roman" w:hAnsi="Times New Roman" w:cs="Times New Roman"/>
          <w:color w:val="000000"/>
        </w:rPr>
        <w:t xml:space="preserve">.连接导线长度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 xml:space="preserve"> </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C</w:t>
      </w:r>
      <w:r>
        <w:rPr>
          <w:rFonts w:ascii="Times New Roman" w:hAnsi="Times New Roman" w:cs="Times New Roman"/>
          <w:color w:val="000000"/>
        </w:rPr>
        <w:t xml:space="preserve">.造价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D</w:t>
      </w:r>
      <w:r>
        <w:rPr>
          <w:rFonts w:ascii="Times New Roman" w:hAnsi="Times New Roman" w:cs="Times New Roman"/>
          <w:color w:val="000000"/>
        </w:rPr>
        <w:t>.U</w:t>
      </w:r>
      <w:r>
        <w:rPr>
          <w:rFonts w:ascii="Times New Roman" w:hAnsi="Times New Roman" w:cs="Times New Roman"/>
          <w:color w:val="000000"/>
          <w:vertAlign w:val="subscript"/>
        </w:rPr>
        <w:t>W</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ascii="Times New Roman" w:hAnsi="Times New Roman" w:eastAsia="方正楷体_GBK" w:cs="Times New Roman"/>
          <w:color w:val="000000"/>
        </w:rPr>
        <w:t>ABD</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 50343-2012 《建筑物电子信息系统防雷技术规范》第5.4.3条</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在进行信号线路浪涌保护器的选择时，需要注意哪些方面？（    ）</w:t>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A.电压匹配问题</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B.速率匹配问题</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C.插入损耗</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D.接口类型</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bCs/>
          <w:color w:val="000000"/>
          <w:sz w:val="24"/>
          <w:szCs w:val="24"/>
        </w:rPr>
        <w:t>答案</w:t>
      </w:r>
      <w:r>
        <w:rPr>
          <w:rFonts w:ascii="Times New Roman" w:hAnsi="Times New Roman" w:eastAsia="宋体" w:cs="Times New Roman"/>
          <w:bCs/>
          <w:color w:val="000000"/>
          <w:sz w:val="24"/>
          <w:szCs w:val="24"/>
        </w:rPr>
        <w:t>：A</w:t>
      </w:r>
      <w:r>
        <w:rPr>
          <w:rFonts w:ascii="Times New Roman" w:hAnsi="Times New Roman" w:eastAsia="宋体" w:cs="Times New Roman"/>
          <w:color w:val="000000"/>
          <w:sz w:val="24"/>
          <w:szCs w:val="24"/>
        </w:rPr>
        <w:t>BCD</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50343-2012《建筑物电子信息系统防雷技术规范》第5.4.4条</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电子信息系统信号线路浪涌保护器应根据线路的（    ）选择适配的浪涌保护器。</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.工作频率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B</w:t>
      </w:r>
      <w:r>
        <w:rPr>
          <w:rFonts w:ascii="Times New Roman" w:hAnsi="Times New Roman" w:cs="Times New Roman"/>
          <w:color w:val="000000"/>
        </w:rPr>
        <w:t xml:space="preserve">.传输速率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C</w:t>
      </w:r>
      <w:r>
        <w:rPr>
          <w:rFonts w:ascii="Times New Roman" w:hAnsi="Times New Roman" w:cs="Times New Roman"/>
          <w:color w:val="000000"/>
        </w:rPr>
        <w:t xml:space="preserve">.工作电压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D</w:t>
      </w:r>
      <w:r>
        <w:rPr>
          <w:rFonts w:ascii="Times New Roman" w:hAnsi="Times New Roman" w:cs="Times New Roman"/>
          <w:color w:val="000000"/>
        </w:rPr>
        <w:t>.接口形式</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ascii="Times New Roman" w:hAnsi="Times New Roman" w:eastAsia="方正楷体_GBK" w:cs="Times New Roman"/>
          <w:color w:val="000000"/>
        </w:rPr>
        <w:t>ABCD</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 50343-2012 《建筑物电子信息系统防雷技术规范》第5.4.4条</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电子信息系统信号线路浪涌保护器应选择（    ）适配的浪涌保护器。</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.插入损耗小  </w:t>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B</w:t>
      </w:r>
      <w:r>
        <w:rPr>
          <w:rFonts w:ascii="Times New Roman" w:hAnsi="Times New Roman" w:cs="Times New Roman"/>
          <w:color w:val="000000"/>
        </w:rPr>
        <w:t xml:space="preserve">.插入损耗大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C</w:t>
      </w:r>
      <w:r>
        <w:rPr>
          <w:rFonts w:ascii="Times New Roman" w:hAnsi="Times New Roman" w:cs="Times New Roman"/>
          <w:color w:val="000000"/>
        </w:rPr>
        <w:t xml:space="preserve">.分布电容小    </w:t>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D</w:t>
      </w:r>
      <w:r>
        <w:rPr>
          <w:rFonts w:ascii="Times New Roman" w:hAnsi="Times New Roman" w:cs="Times New Roman"/>
          <w:color w:val="000000"/>
        </w:rPr>
        <w:t>.分布电容大</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ascii="Times New Roman" w:hAnsi="Times New Roman" w:eastAsia="方正楷体_GBK" w:cs="Times New Roman"/>
          <w:color w:val="000000"/>
        </w:rPr>
        <w:t>AC</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 50343-2012《建筑物电子信息系统防雷技术规范》 第5.4.4条</w:t>
      </w:r>
    </w:p>
    <w:p>
      <w:pPr>
        <w:numPr>
          <w:ilvl w:val="0"/>
          <w:numId w:val="5"/>
        </w:numPr>
        <w:spacing w:line="400" w:lineRule="exact"/>
        <w:jc w:val="left"/>
        <w:rPr>
          <w:rFonts w:ascii="Times New Roman" w:hAnsi="Times New Roman" w:eastAsia="宋体" w:cs="Times New Roman"/>
          <w:sz w:val="24"/>
          <w:szCs w:val="24"/>
        </w:rPr>
      </w:pPr>
      <w:r>
        <w:rPr>
          <w:rFonts w:ascii="Times New Roman" w:hAnsi="Times New Roman" w:eastAsia="宋体" w:cs="Times New Roman"/>
          <w:sz w:val="24"/>
          <w:szCs w:val="24"/>
        </w:rPr>
        <w:t>移动通信基站的地网由</w:t>
      </w:r>
      <w:r>
        <w:rPr>
          <w:rFonts w:ascii="Times New Roman" w:hAnsi="Times New Roman" w:eastAsia="宋体" w:cs="Times New Roman"/>
          <w:color w:val="000000"/>
          <w:sz w:val="24"/>
          <w:szCs w:val="24"/>
        </w:rPr>
        <w:t>（    ）</w:t>
      </w:r>
      <w:r>
        <w:rPr>
          <w:rFonts w:ascii="Times New Roman" w:hAnsi="Times New Roman" w:eastAsia="宋体" w:cs="Times New Roman"/>
          <w:sz w:val="24"/>
          <w:szCs w:val="24"/>
        </w:rPr>
        <w:t>互相连接组成。</w:t>
      </w:r>
    </w:p>
    <w:p>
      <w:pPr>
        <w:spacing w:line="400" w:lineRule="exact"/>
        <w:ind w:firstLine="480" w:firstLineChars="200"/>
        <w:rPr>
          <w:rFonts w:hint="eastAsia" w:ascii="Times New Roman" w:hAnsi="Times New Roman" w:eastAsia="宋体" w:cs="Times New Roman"/>
          <w:sz w:val="24"/>
          <w:szCs w:val="24"/>
        </w:rPr>
      </w:pPr>
      <w:r>
        <w:rPr>
          <w:rFonts w:ascii="Times New Roman" w:hAnsi="Times New Roman" w:eastAsia="宋体" w:cs="Times New Roman"/>
          <w:sz w:val="24"/>
          <w:szCs w:val="24"/>
        </w:rPr>
        <w:t>A</w:t>
      </w:r>
      <w:r>
        <w:rPr>
          <w:rFonts w:ascii="Times New Roman" w:hAnsi="Times New Roman" w:eastAsia="宋体" w:cs="Times New Roman"/>
          <w:color w:val="000000"/>
          <w:sz w:val="24"/>
          <w:szCs w:val="24"/>
        </w:rPr>
        <w:t>.</w:t>
      </w:r>
      <w:r>
        <w:rPr>
          <w:rFonts w:ascii="Times New Roman" w:hAnsi="Times New Roman" w:eastAsia="宋体" w:cs="Times New Roman"/>
          <w:sz w:val="24"/>
          <w:szCs w:val="24"/>
        </w:rPr>
        <w:t>机房地网</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hint="eastAsia" w:ascii="Times New Roman" w:hAnsi="Times New Roman" w:eastAsia="宋体" w:cs="Times New Roman"/>
          <w:sz w:val="24"/>
          <w:szCs w:val="24"/>
        </w:rPr>
      </w:pPr>
      <w:r>
        <w:rPr>
          <w:rFonts w:ascii="Times New Roman" w:hAnsi="Times New Roman" w:eastAsia="宋体" w:cs="Times New Roman"/>
          <w:sz w:val="24"/>
          <w:szCs w:val="24"/>
        </w:rPr>
        <w:t>B</w:t>
      </w:r>
      <w:r>
        <w:rPr>
          <w:rFonts w:ascii="Times New Roman" w:hAnsi="Times New Roman" w:eastAsia="宋体" w:cs="Times New Roman"/>
          <w:color w:val="000000"/>
          <w:sz w:val="24"/>
          <w:szCs w:val="24"/>
        </w:rPr>
        <w:t>.</w:t>
      </w:r>
      <w:r>
        <w:rPr>
          <w:rFonts w:ascii="Times New Roman" w:hAnsi="Times New Roman" w:eastAsia="宋体" w:cs="Times New Roman"/>
          <w:sz w:val="24"/>
          <w:szCs w:val="24"/>
        </w:rPr>
        <w:t>防静电地网</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hint="eastAsia" w:ascii="Times New Roman" w:hAnsi="Times New Roman" w:eastAsia="宋体" w:cs="Times New Roman"/>
          <w:sz w:val="24"/>
          <w:szCs w:val="24"/>
        </w:rPr>
      </w:pPr>
      <w:r>
        <w:rPr>
          <w:rFonts w:ascii="Times New Roman" w:hAnsi="Times New Roman" w:eastAsia="宋体" w:cs="Times New Roman"/>
          <w:sz w:val="24"/>
          <w:szCs w:val="24"/>
        </w:rPr>
        <w:t>C</w:t>
      </w:r>
      <w:r>
        <w:rPr>
          <w:rFonts w:ascii="Times New Roman" w:hAnsi="Times New Roman" w:eastAsia="宋体" w:cs="Times New Roman"/>
          <w:color w:val="000000"/>
          <w:sz w:val="24"/>
          <w:szCs w:val="24"/>
        </w:rPr>
        <w:t>.</w:t>
      </w:r>
      <w:r>
        <w:rPr>
          <w:rFonts w:ascii="Times New Roman" w:hAnsi="Times New Roman" w:eastAsia="宋体" w:cs="Times New Roman"/>
          <w:sz w:val="24"/>
          <w:szCs w:val="24"/>
        </w:rPr>
        <w:t>铁塔地网</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ascii="Times New Roman" w:hAnsi="Times New Roman" w:eastAsia="宋体" w:cs="Times New Roman"/>
          <w:color w:val="000000"/>
          <w:sz w:val="24"/>
          <w:szCs w:val="24"/>
        </w:rPr>
        <w:t>.</w:t>
      </w:r>
      <w:r>
        <w:rPr>
          <w:rFonts w:ascii="Times New Roman" w:hAnsi="Times New Roman" w:eastAsia="宋体" w:cs="Times New Roman"/>
          <w:sz w:val="24"/>
          <w:szCs w:val="24"/>
        </w:rPr>
        <w:t>变压器地网</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黑体" w:cs="Times New Roman"/>
          <w:color w:val="000000"/>
          <w:kern w:val="0"/>
          <w:sz w:val="24"/>
          <w:szCs w:val="24"/>
        </w:rPr>
        <w:t>答案</w:t>
      </w:r>
      <w:r>
        <w:rPr>
          <w:rFonts w:ascii="Times New Roman" w:hAnsi="Times New Roman" w:eastAsia="宋体" w:cs="Times New Roman"/>
          <w:color w:val="000000"/>
          <w:kern w:val="0"/>
          <w:sz w:val="24"/>
          <w:szCs w:val="24"/>
        </w:rPr>
        <w:t>：</w:t>
      </w:r>
      <w:r>
        <w:rPr>
          <w:rFonts w:ascii="Times New Roman" w:hAnsi="Times New Roman" w:eastAsia="宋体" w:cs="Times New Roman"/>
          <w:sz w:val="24"/>
          <w:szCs w:val="24"/>
        </w:rPr>
        <w:t>ACD</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黑体" w:cs="Times New Roman"/>
          <w:color w:val="000000"/>
          <w:kern w:val="0"/>
          <w:sz w:val="24"/>
          <w:szCs w:val="24"/>
        </w:rPr>
        <w:t>解析</w:t>
      </w:r>
      <w:r>
        <w:rPr>
          <w:rFonts w:ascii="Times New Roman" w:hAnsi="Times New Roman" w:eastAsia="宋体" w:cs="Times New Roman"/>
          <w:sz w:val="24"/>
          <w:szCs w:val="24"/>
        </w:rPr>
        <w:t>：GB 50343-2012《建筑物电子信息系统防雷技术规范》第5.5.7条</w:t>
      </w:r>
      <w:r>
        <w:rPr>
          <w:rFonts w:hint="eastAsia" w:ascii="Times New Roman" w:hAnsi="Times New Roman" w:eastAsia="宋体" w:cs="Times New Roman"/>
          <w:color w:val="000000"/>
          <w:sz w:val="24"/>
          <w:szCs w:val="24"/>
        </w:rPr>
        <w:t>第6款</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等电位连接带表面应无（    ）现象。</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.毛刺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B</w:t>
      </w:r>
      <w:r>
        <w:rPr>
          <w:rFonts w:ascii="Times New Roman" w:hAnsi="Times New Roman" w:cs="Times New Roman"/>
          <w:color w:val="000000"/>
        </w:rPr>
        <w:t xml:space="preserve">.明显伤痕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C</w:t>
      </w:r>
      <w:r>
        <w:rPr>
          <w:rFonts w:ascii="Times New Roman" w:hAnsi="Times New Roman" w:cs="Times New Roman"/>
          <w:color w:val="000000"/>
        </w:rPr>
        <w:t xml:space="preserve">.残余焊渣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D</w:t>
      </w:r>
      <w:r>
        <w:rPr>
          <w:rFonts w:ascii="Times New Roman" w:hAnsi="Times New Roman" w:cs="Times New Roman"/>
          <w:color w:val="000000"/>
        </w:rPr>
        <w:t>.平整</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ascii="Times New Roman" w:hAnsi="Times New Roman" w:eastAsia="方正楷体_GBK" w:cs="Times New Roman"/>
          <w:color w:val="000000"/>
        </w:rPr>
        <w:t>ABC</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 50343-2012 《建筑物电子信息系统防雷技术规范》第6.4.7条</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按风险管理要求进行的雷击风险评估中雷击引起的损失类型L应分为（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A.电气、电子系统损失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B.人身伤亡损失  </w:t>
      </w:r>
    </w:p>
    <w:p>
      <w:pPr>
        <w:spacing w:line="400" w:lineRule="exact"/>
        <w:ind w:firstLine="480" w:firstLineChars="200"/>
        <w:rPr>
          <w:rFonts w:hint="eastAsia"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C.公共服务损失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D.文化遗产损失  </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E.经济损失  </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：BCDE</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50343-2012《建筑物电子信息系统防雷技术规范》附录B</w:t>
      </w:r>
    </w:p>
    <w:p>
      <w:pPr>
        <w:pStyle w:val="2"/>
        <w:numPr>
          <w:ilvl w:val="0"/>
          <w:numId w:val="5"/>
        </w:numPr>
        <w:spacing w:before="0" w:beforeAutospacing="0" w:after="0" w:afterAutospacing="0" w:line="400" w:lineRule="exact"/>
        <w:rPr>
          <w:rFonts w:ascii="Times New Roman" w:hAnsi="Times New Roman" w:cs="Times New Roman"/>
          <w:color w:val="000000"/>
        </w:rPr>
      </w:pPr>
      <w:r>
        <w:rPr>
          <w:rFonts w:ascii="Times New Roman" w:hAnsi="Times New Roman" w:cs="Times New Roman"/>
          <w:color w:val="000000"/>
        </w:rPr>
        <w:t>根据雷击点的不同位置，雷击致损原因应分为（    ）。</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.雷击建筑物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B</w:t>
      </w:r>
      <w:r>
        <w:rPr>
          <w:rFonts w:ascii="Times New Roman" w:hAnsi="Times New Roman" w:cs="Times New Roman"/>
          <w:color w:val="000000"/>
        </w:rPr>
        <w:t xml:space="preserve">.雷击建筑物附近  </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eastAsia="方正楷体_GBK" w:cs="Times New Roman"/>
          <w:color w:val="000000"/>
        </w:rPr>
        <w:t>C</w:t>
      </w:r>
      <w:r>
        <w:rPr>
          <w:rFonts w:ascii="Times New Roman" w:hAnsi="Times New Roman" w:cs="Times New Roman"/>
          <w:color w:val="000000"/>
        </w:rPr>
        <w:t xml:space="preserve">.雷击服务设施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D</w:t>
      </w:r>
      <w:r>
        <w:rPr>
          <w:rFonts w:ascii="Times New Roman" w:hAnsi="Times New Roman" w:cs="Times New Roman"/>
          <w:color w:val="000000"/>
        </w:rPr>
        <w:t>.雷击服务设施附近</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ascii="Times New Roman" w:hAnsi="Times New Roman" w:eastAsia="方正楷体_GBK" w:cs="Times New Roman"/>
          <w:color w:val="000000"/>
        </w:rPr>
        <w:t>ABCD</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黑体" w:cs="Times New Roman"/>
          <w:color w:val="000000"/>
        </w:rPr>
        <w:t>解析</w:t>
      </w:r>
      <w:r>
        <w:rPr>
          <w:rFonts w:ascii="Times New Roman" w:hAnsi="Times New Roman" w:cs="Times New Roman"/>
          <w:color w:val="000000"/>
        </w:rPr>
        <w:t>：GB 50343-2012《建筑物电子信息系统防雷技术规范》附录B.1.1</w:t>
      </w:r>
    </w:p>
    <w:p>
      <w:pPr>
        <w:numPr>
          <w:ilvl w:val="0"/>
          <w:numId w:val="5"/>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直流工作接地是指电子信息设备（    ），又称功能性接地。</w:t>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cs="Times New Roman"/>
          <w:color w:val="000000"/>
        </w:rPr>
        <w:t xml:space="preserve">A.信号接地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cs="Times New Roman"/>
          <w:color w:val="000000"/>
        </w:rPr>
        <w:t xml:space="preserve">B.逻辑接地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hint="eastAsia" w:ascii="Times New Roman" w:hAnsi="Times New Roman" w:cs="Times New Roman"/>
          <w:color w:val="000000"/>
        </w:rPr>
      </w:pPr>
      <w:r>
        <w:rPr>
          <w:rFonts w:ascii="Times New Roman" w:hAnsi="Times New Roman" w:cs="Times New Roman"/>
          <w:color w:val="000000"/>
        </w:rPr>
        <w:t xml:space="preserve">C.屏蔽接地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cs="Times New Roman"/>
          <w:color w:val="000000"/>
        </w:rPr>
        <w:t xml:space="preserve">D.防静电接地  </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cs="Times New Roman"/>
          <w:color w:val="000000"/>
        </w:rPr>
        <w:t xml:space="preserve">E.电气和电子设备金属外壳接地  </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解析</w:t>
      </w:r>
      <w:r>
        <w:rPr>
          <w:rFonts w:ascii="Times New Roman" w:hAnsi="Times New Roman" w:eastAsia="宋体" w:cs="Times New Roman"/>
          <w:color w:val="000000"/>
          <w:sz w:val="24"/>
          <w:szCs w:val="24"/>
        </w:rPr>
        <w:t>：GB 50343-2012《建筑物电子信息系统防雷技术规范》条文说明第5.2.5条</w:t>
      </w:r>
    </w:p>
    <w:p>
      <w:pPr>
        <w:numPr>
          <w:numId w:val="0"/>
        </w:numPr>
        <w:ind w:left="480" w:leftChars="0"/>
        <w:rPr>
          <w:rFonts w:hint="default" w:ascii="黑体" w:hAnsi="黑体" w:eastAsia="黑体" w:cs="黑体"/>
          <w:sz w:val="32"/>
          <w:szCs w:val="40"/>
          <w:lang w:val="en-US" w:eastAsia="zh-CN"/>
        </w:rPr>
      </w:pPr>
    </w:p>
    <w:p>
      <w:pPr>
        <w:pStyle w:val="2"/>
        <w:numPr>
          <w:ilvl w:val="1"/>
          <w:numId w:val="6"/>
        </w:numPr>
        <w:spacing w:before="0" w:beforeAutospacing="0" w:after="0" w:afterAutospacing="0" w:line="400" w:lineRule="exact"/>
        <w:ind w:left="480" w:hanging="640" w:hangingChars="200"/>
        <w:rPr>
          <w:rFonts w:ascii="Times New Roman"/>
          <w:color w:val="000000"/>
        </w:rPr>
      </w:pPr>
      <w:r>
        <w:rPr>
          <w:rFonts w:hint="eastAsia" w:ascii="黑体" w:hAnsi="黑体" w:eastAsia="黑体" w:cs="黑体"/>
          <w:sz w:val="32"/>
          <w:szCs w:val="40"/>
          <w:lang w:val="en-US" w:eastAsia="zh-CN"/>
        </w:rPr>
        <w:t>判断题</w:t>
      </w:r>
      <w:r>
        <w:rPr>
          <w:rFonts w:hint="eastAsia" w:ascii="Times New Roman"/>
          <w:color w:val="000000"/>
        </w:rPr>
        <w:t>电子信息系统是由计算机、通信设备、处理设备、控制设备、电力电子装置及其相关的配套设备、设施(含网络)等的电子设备构成的，按照一定应用目的和规则对信息进行采集、加工、存储、传输、检索等处理的人机系统。（</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综合防雷系统指外部和内部雷电防护系统的总称。外部防雷由等电位连接、共用接地装置、屏蔽、合理布线、浪涌保护器等组成。内部防雷由接闪器、引下线和接地装置等组成，用于直击雷的防护组成，用于减小和防止雷电流在需防护空间内所产生的电磁效应。（</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第2.0.5条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共用接地系统指将防雷系统的接地装置、建筑物金属构件、低压配电保护线(PE) 、等电位连接端子板或连接带、设备保护地、屏蔽体接地、防静电接地、功能性接地等连接在一起构成共用的接地系统。（</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第2.0.6条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自然接地体是指有接地功能并为此目的专门设置的与大地有良好接触的各种金属构件、金属井管、混凝土中的钢筋等的统称。（</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第2.0.7条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接地端子指将保护导体、等电位连接导体和工作接地导体与接地装置连接的端子或接地排。（</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第2.0.8条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总等电位接地端子板指将多个接地端子连接在一起并间接的与接地装置连接金属板。（</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第2.0.9条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楼层等电位接地端子板指建筑物内楼层设置的接地端子板，供全部等电位接地端子板作等电位连接用。（</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第2.0.10条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局地等电位接地端子板（排）指电子信息系统机房内局部等电位连接网络接地的端子板。（</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第2.0.11条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等电位连接带指用作等电位连接的网络导体。（</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第2.0.13条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等电位连接网络指建筑物内用作等电位连接的所有导体和浪涌保护器组成的网络。（</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第2.0.14条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电压开关型浪涌保护器在无浪涌时呈现低阻抗，当出现电压浪涌时突变为高阻抗。通常采用放电间隙、气体放电管、晶闸管和三端双向可控硅元件作这类浪涌保护器的组件。（</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第2.0.17条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电压限制型浪涌保护器在无浪涌时呈现高阻抗，但随浪涌电流和电压的增加其阻抗会不断减小，又称限压型浪涌保护器。用作这类非线性装置的常见器件有压敏电阻和抑制二极管。（</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第2.0.18条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标称放电电流流过浪涌保护器，具有 8/20μs 波形的电流峰值，用于浪涌保护器的Ⅰ类试验以及II类试验的预处理试验。（</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第2.0.19条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最大放电电流是流过浪涌保护器具有 8/20μs 波形的电流峰值，其值按Ⅰ类动作负载试验的程序确定。（</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第2.0.20条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冲击电流指由电流峰值 I</w:t>
      </w:r>
      <w:r>
        <w:rPr>
          <w:rFonts w:hint="eastAsia" w:ascii="Times New Roman"/>
          <w:color w:val="000000"/>
          <w:vertAlign w:val="subscript"/>
        </w:rPr>
        <w:t>peak</w:t>
      </w:r>
      <w:r>
        <w:rPr>
          <w:rFonts w:hint="eastAsia" w:ascii="Times New Roman"/>
          <w:color w:val="000000"/>
        </w:rPr>
        <w:t>、电荷量Q和比能量 W/R 三个参数定义的电流，用于浪涌保护器的I类试验，典型波形为 10/350μs。（</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第2.0.21条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最大持续工作电压指可连续施加在浪涌保护器上的最大直流电压有效值或交流电压。（</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第2.0.22条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残压是指放电电流流过浪涌保护器时，在其端子间的电压峰值。（</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第2.0.23条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限制电压指施加规定波形和幅值的冲击时，在浪涌保护器接线端子间测得的最小电压峰值。（</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第2.0.24条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电压保护水平是表征浪涌保护器限制接线端子间电压的性能参数，该值应小于限制电压的最高值。（</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第2.0.25条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有效保护水平指浪涌保护器连接导线的感应电压降与浪涌保护器电压保护水平U</w:t>
      </w:r>
      <w:r>
        <w:rPr>
          <w:rFonts w:hint="eastAsia" w:ascii="Times New Roman"/>
          <w:color w:val="000000"/>
          <w:vertAlign w:val="subscript"/>
        </w:rPr>
        <w:t>p</w:t>
      </w:r>
      <w:r>
        <w:rPr>
          <w:rFonts w:hint="eastAsia" w:ascii="Times New Roman"/>
          <w:color w:val="000000"/>
        </w:rPr>
        <w:t>之和。（</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第2.0.26条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1.2/50μs冲击电压指视在波前时间为1.2μs ，半峰值时间为50μs的冲击电压。（</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第2.0.27条</w:t>
      </w:r>
    </w:p>
    <w:p>
      <w:pPr>
        <w:pStyle w:val="2"/>
        <w:numPr>
          <w:ilvl w:val="1"/>
          <w:numId w:val="6"/>
        </w:numPr>
        <w:spacing w:before="0" w:beforeAutospacing="0" w:after="0" w:afterAutospacing="0" w:line="400" w:lineRule="exact"/>
        <w:ind w:left="480" w:hanging="480" w:hangingChars="200"/>
        <w:rPr>
          <w:rFonts w:ascii="Times New Roman"/>
          <w:color w:val="000000"/>
        </w:rPr>
      </w:pPr>
      <w:r>
        <w:rPr>
          <w:rFonts w:hint="eastAsia" w:ascii="Times New Roman"/>
          <w:color w:val="000000"/>
        </w:rPr>
        <w:t>8/20μs冲击电流是指视在波前时间为20μs，半峰值时间为8μs的冲击电流。（</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第2.0.28条</w:t>
      </w:r>
    </w:p>
    <w:p>
      <w:pPr>
        <w:pStyle w:val="2"/>
        <w:numPr>
          <w:ilvl w:val="1"/>
          <w:numId w:val="6"/>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复合波由冲击发生器产生，开路时输出1.2/50μs 冲击电压，短路时输出 8/20μs 冲击电流。提供给浪涌保护器的电压、电流幅值及其波形由冲击发生器和受冲击作用的浪涌保护器的阻抗而定。开路电压峰值和短路电流峰值之比为8Ω，该比值定义为虚拟输出阻抗 Z</w:t>
      </w:r>
      <w:r>
        <w:rPr>
          <w:rFonts w:hint="eastAsia" w:ascii="Times New Roman"/>
          <w:color w:val="000000"/>
          <w:vertAlign w:val="subscript"/>
        </w:rPr>
        <w:t>f</w:t>
      </w:r>
      <w:r>
        <w:rPr>
          <w:rFonts w:hint="eastAsia" w:ascii="Times New Roman"/>
          <w:color w:val="000000"/>
        </w:rPr>
        <w:t>，短路电流用符号I</w:t>
      </w:r>
      <w:r>
        <w:rPr>
          <w:rFonts w:hint="eastAsia" w:ascii="Times New Roman"/>
          <w:color w:val="000000"/>
          <w:vertAlign w:val="subscript"/>
        </w:rPr>
        <w:t>sc</w:t>
      </w:r>
      <w:r>
        <w:rPr>
          <w:rFonts w:hint="eastAsia" w:ascii="Times New Roman"/>
          <w:color w:val="000000"/>
        </w:rPr>
        <w:t>表示，开路电压用符号U</w:t>
      </w:r>
      <w:r>
        <w:rPr>
          <w:rFonts w:hint="eastAsia" w:ascii="Times New Roman"/>
          <w:color w:val="000000"/>
          <w:vertAlign w:val="subscript"/>
        </w:rPr>
        <w:t>oc</w:t>
      </w:r>
      <w:r>
        <w:rPr>
          <w:rFonts w:hint="eastAsia" w:ascii="Times New Roman"/>
          <w:color w:val="000000"/>
        </w:rPr>
        <w:t>表示。（</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第2.0.29条</w:t>
      </w:r>
    </w:p>
    <w:p>
      <w:pPr>
        <w:pStyle w:val="2"/>
        <w:numPr>
          <w:ilvl w:val="1"/>
          <w:numId w:val="6"/>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插入损耗指传输系统中插入一个浪涌保护器所引起的损耗，其值等于浪涌保护器插入前后的功率比。插入损耗常用分贝 (dB)来表示。（</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第2.0.33条</w:t>
      </w:r>
    </w:p>
    <w:p>
      <w:pPr>
        <w:pStyle w:val="2"/>
        <w:numPr>
          <w:ilvl w:val="1"/>
          <w:numId w:val="6"/>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劣化指由于浪涌、使用或不利环境的影响造成浪涌保护器原始性能参数的变化。（</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第2.0.34条</w:t>
      </w:r>
    </w:p>
    <w:p>
      <w:pPr>
        <w:pStyle w:val="2"/>
        <w:numPr>
          <w:ilvl w:val="1"/>
          <w:numId w:val="6"/>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热熔焊是指利用放热化学反应时快速产生超高热量，使导体熔化分成两部分的方法。（</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第2.0.35条</w:t>
      </w:r>
    </w:p>
    <w:p>
      <w:pPr>
        <w:pStyle w:val="2"/>
        <w:numPr>
          <w:ilvl w:val="1"/>
          <w:numId w:val="6"/>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雷击损害风险指雷击导致的年平均可能损失(人和物)与受保护对象的总价值(人和物)之差。（</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50343-2012《建筑物电子信息系统防雷技术规范</w:t>
      </w:r>
      <w:r>
        <w:rPr>
          <w:rFonts w:ascii="Times New Roman" w:hAnsi="Times New Roman" w:cs="Times New Roman"/>
          <w:color w:val="000000"/>
        </w:rPr>
        <w:t>》</w:t>
      </w:r>
      <w:r>
        <w:rPr>
          <w:rFonts w:hint="eastAsia" w:ascii="Times New Roman" w:hAnsi="Times New Roman" w:cs="Times New Roman"/>
          <w:color w:val="000000"/>
        </w:rPr>
        <w:t>第2.0.36条</w:t>
      </w:r>
    </w:p>
    <w:p>
      <w:pPr>
        <w:numPr>
          <w:numId w:val="0"/>
        </w:numPr>
        <w:rPr>
          <w:rFonts w:hint="default" w:ascii="黑体" w:hAnsi="黑体" w:eastAsia="黑体" w:cs="黑体"/>
          <w:sz w:val="32"/>
          <w:szCs w:val="40"/>
          <w:lang w:val="en-US" w:eastAsia="zh-CN"/>
        </w:rPr>
      </w:pPr>
    </w:p>
    <w:p>
      <w:pPr>
        <w:numPr>
          <w:numId w:val="0"/>
        </w:numPr>
        <w:ind w:left="480" w:leftChars="0"/>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六、简答题</w:t>
      </w: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黑体" w:hAnsi="黑体" w:eastAsia="黑体" w:cs="黑体"/>
          <w:sz w:val="32"/>
          <w:szCs w:val="40"/>
          <w:lang w:val="en-US" w:eastAsia="zh-CN"/>
        </w:rPr>
        <w:t xml:space="preserve">   </w:t>
      </w:r>
      <w:r>
        <w:rPr>
          <w:rFonts w:hint="eastAsia" w:ascii="Times New Roman" w:hAnsi="Times New Roman" w:eastAsia="宋体" w:cs="Times New Roman"/>
          <w:b/>
          <w:color w:val="000000" w:themeColor="text1"/>
          <w:sz w:val="24"/>
          <w:szCs w:val="24"/>
          <w14:textFill>
            <w14:solidFill>
              <w14:schemeClr w14:val="tx1"/>
            </w14:solidFill>
          </w14:textFill>
        </w:rPr>
        <w:t>简述雷电防护等级划分和雷击风险评估的一般规定。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1）建筑物电子信息系统可按GB50343–2012第 4.2 节、第 4.3 节或4.4 节规定的方法进行雷击风险评估。建筑物电子信息系统可按GB50343–2012第 4.2 节防雷装置的拦截效率或GB50343–2012第 4.3 节电子信息系统的重要性、使用性质和价值确定雷电防护等级。对于重要的建筑物电子信息系统，宜分别采用GB50343–2012第4.2 节和 4.3 节规定的两种方法进行评估，按其中较高防护等确定。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2）重点工程或用户提出要求时，可按GB50343–2012第 4.4 节雷电防护风险管理方法确定雷电防护措施。</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第4.1条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电子信息系统的防雷装置按防雷装置拦截效率如何确定雷电防护等级？</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1）大于 0. 98 时，定为A级;</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2）大于 0. 90 小于或等于 0. 98 时，定为B级;</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3）大于 0.80 小于或等于 0. 90 时，定为C级;</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4）小于或等于 0.80 时，定为D级。</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第4.2.5条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新建工程的防雷设计应收集哪些相关资料。</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1）建筑物所在地区的地形、地物状况、气象条件和地质条件;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2）建筑物或建筑物群的长、宽、高度及位置分布，相邻建筑物的高度、接地等情况;</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3）建筑物内各楼层及楼顶需保护的电子信息系统设备的分布状况;</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4）配置于各楼层工作间或设备机房内需保护设备的类型、功能及'性能参数;</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5）电子信息系统的网络结构;</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6）电源线路、信号线路进人建筑物的方式;</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7）供、配电情况及其配电系统接地方式等。</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第5.1.4条</w:t>
      </w: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扩、改建工程除了应具备新建工程的防雷设计资料外，还应收集哪些相关资料？</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1）防直击雷接闪装置的现状;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2）引下线的现状及其与电子信息系统设备接地引人线间的距离;</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3）高层建筑物防侧击雷的措施;</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4）电气竖井内线路敷设'情况;</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5）电子信息系统设备的安装情况及耐受冲击电压水平;</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6）总等电位连接及各局部等电位连接状况，共用接地装置状况;</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7）电子信息系统的功能性接地导体与等电位连接网络互连'情况;</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8）地下管线、隐蔽工程分布情况;</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9）曾经遭受过的雷击灾害的记录等资料。</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第5.1.5条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电子信息系统设备机房的屏蔽应符合的规定是什么？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1）建筑物的屏蔽宜利用建筑物的金属框架、混凝土中的钢筋、金属墙面、金属屋顶等自然金属部件与防雷装置连接构成格栅型大空间屏蔽;</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2）当建筑物自然金属部件构成的大空间屏蔽不能满足机房内电子信息系统电磁环境要求时，应增加机房屏蔽措施;</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3）电子信息系统设备主机房宜选择在建筑物低层中心部位，其设备应配置在 LPZl 区之后的后续防雷区内，并与相应的雷电防护区屏蔽体及结构柱留有一定的安全距离；</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4）屏蔽效果及安全距离可按GB50343–2012附录规定的计算方法确定。</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第5.3.2条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电源线路浪涌保护器冲击电流和标称放电电流参数推荐值分别是什么？</w:t>
      </w:r>
    </w:p>
    <w:p>
      <w:p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 xml:space="preserve">  </w:t>
      </w:r>
      <w:r>
        <w:rPr>
          <w:rFonts w:hint="eastAsia" w:ascii="Times New Roman" w:hAnsi="Times New Roman"/>
          <w:color w:val="000000"/>
          <w:kern w:val="0"/>
          <w:sz w:val="24"/>
          <w:szCs w:val="24"/>
        </w:rPr>
        <w:t>答：</w:t>
      </w:r>
    </w:p>
    <w:p>
      <w:pPr>
        <w:widowControl/>
        <w:jc w:val="left"/>
        <w:rPr>
          <w:rFonts w:ascii="Times New Roman" w:hAnsi="Times New Roman"/>
          <w:color w:val="000000"/>
          <w:kern w:val="0"/>
          <w:sz w:val="24"/>
          <w:szCs w:val="24"/>
        </w:rPr>
      </w:pPr>
      <w:r>
        <w:rPr>
          <w:rFonts w:ascii="宋体" w:hAnsi="宋体" w:eastAsia="宋体" w:cs="宋体"/>
          <w:kern w:val="0"/>
          <w:sz w:val="24"/>
          <w:szCs w:val="24"/>
        </w:rPr>
        <w:drawing>
          <wp:inline distT="0" distB="0" distL="114300" distR="114300">
            <wp:extent cx="5007610" cy="3916680"/>
            <wp:effectExtent l="0" t="0" r="2540" b="7620"/>
            <wp:docPr id="1"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IMG_256"/>
                    <pic:cNvPicPr>
                      <a:picLocks noChangeAspect="1"/>
                    </pic:cNvPicPr>
                  </pic:nvPicPr>
                  <pic:blipFill>
                    <a:blip r:embed="rId4"/>
                    <a:stretch>
                      <a:fillRect/>
                    </a:stretch>
                  </pic:blipFill>
                  <pic:spPr>
                    <a:xfrm>
                      <a:off x="0" y="0"/>
                      <a:ext cx="5007610" cy="3916680"/>
                    </a:xfrm>
                    <a:prstGeom prst="rect">
                      <a:avLst/>
                    </a:prstGeom>
                    <a:noFill/>
                    <a:ln w="9525">
                      <a:noFill/>
                    </a:ln>
                  </pic:spPr>
                </pic:pic>
              </a:graphicData>
            </a:graphic>
          </wp:inline>
        </w:drawing>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第5.4.3条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信号线路浪涌保护器的选择应符合的规定是什么？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1）电子信息系统信号线路浪涌保护器应根据线路的工作频率、传输速率、传输带宽、工作电压、接口形式和特性阻抗等参数，选择插入损耗小、分布电容小、并与纵向平衡、近端串扰指标适配的浪涌保护器。U</w:t>
      </w:r>
      <w:r>
        <w:rPr>
          <w:rFonts w:hint="eastAsia" w:ascii="Times New Roman" w:hAnsi="Times New Roman"/>
          <w:color w:val="000000"/>
          <w:vertAlign w:val="subscript"/>
        </w:rPr>
        <w:t>c</w:t>
      </w:r>
      <w:r>
        <w:rPr>
          <w:rFonts w:hint="eastAsia" w:ascii="Times New Roman" w:hAnsi="Times New Roman"/>
          <w:color w:val="000000"/>
        </w:rPr>
        <w:t>应大于线路上的最大工作电压 1.2 倍，U</w:t>
      </w:r>
      <w:r>
        <w:rPr>
          <w:rFonts w:hint="eastAsia" w:ascii="Times New Roman" w:hAnsi="Times New Roman"/>
          <w:color w:val="000000"/>
          <w:vertAlign w:val="subscript"/>
        </w:rPr>
        <w:t>p</w:t>
      </w:r>
      <w:r>
        <w:rPr>
          <w:rFonts w:hint="eastAsia" w:ascii="Times New Roman" w:hAnsi="Times New Roman"/>
          <w:color w:val="000000"/>
        </w:rPr>
        <w:t>应低于被保护设备的耐冲击电压额定值</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2）电子信息系统信号线路浪涌保护器宜设置在雷电防护区界面处。根据雷电过电压、过电流幅值和设备端口冲击电压额定值，可设单级浪涌保护器，也可设能量配合的多级浪涌保护器。</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第5.4.4条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天馈线路浪涌保护器的选择应符合的规定是什么？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1）天线应置于直击雷防护区 (LPZ0</w:t>
      </w:r>
      <w:r>
        <w:rPr>
          <w:rFonts w:hint="eastAsia" w:ascii="Times New Roman" w:hAnsi="Times New Roman"/>
          <w:color w:val="000000"/>
          <w:vertAlign w:val="subscript"/>
        </w:rPr>
        <w:t>B</w:t>
      </w:r>
      <w:r>
        <w:rPr>
          <w:rFonts w:hint="eastAsia" w:ascii="Times New Roman" w:hAnsi="Times New Roman"/>
          <w:color w:val="000000"/>
        </w:rPr>
        <w:t>） 内。</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2）应根据被保护设备的工作频率、平均输出功率、连接器形式及特性阻抗等参数选用插入损耗小，电压驻波比小，适配的天馈线路浪涌保护器。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3）天馈线路浪涌保护器应安装在收/发通信设备的射频出、人端口处。其参数应符合</w:t>
      </w:r>
      <w:r>
        <w:rPr>
          <w:rFonts w:ascii="Times New Roman" w:hAnsi="Times New Roman"/>
          <w:color w:val="000000"/>
        </w:rPr>
        <w:t xml:space="preserve">GB </w:t>
      </w:r>
      <w:r>
        <w:rPr>
          <w:rFonts w:hint="eastAsia" w:ascii="Times New Roman" w:hAnsi="Times New Roman"/>
          <w:color w:val="000000"/>
        </w:rPr>
        <w:t>50343-2012表 5.4.5 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具有多副天线的天馈传输系统，每副天线应安装适配的天馈线路浪涌保护器。当天馈传输系统采用波导管传输时，波导管的金属外壁应与天线架、波导管支撑架及天线反射器电气连通，其接地端应就近接在等电位接地端子板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5）天馈线路浪涌保护器接地端应采用能承载预期雷电流的多股绝缘铜导线连接到 LPZ0</w:t>
      </w:r>
      <w:r>
        <w:rPr>
          <w:rFonts w:hint="eastAsia" w:ascii="Times New Roman" w:hAnsi="Times New Roman"/>
          <w:color w:val="000000"/>
          <w:vertAlign w:val="subscript"/>
        </w:rPr>
        <w:t>A</w:t>
      </w:r>
      <w:r>
        <w:rPr>
          <w:rFonts w:hint="eastAsia" w:ascii="Times New Roman" w:hAnsi="Times New Roman"/>
          <w:color w:val="000000"/>
        </w:rPr>
        <w:t xml:space="preserve"> 或LPZ0</w:t>
      </w:r>
      <w:r>
        <w:rPr>
          <w:rFonts w:hint="eastAsia" w:ascii="Times New Roman" w:hAnsi="Times New Roman"/>
          <w:color w:val="000000"/>
          <w:vertAlign w:val="subscript"/>
        </w:rPr>
        <w:t>B</w:t>
      </w:r>
      <w:r>
        <w:rPr>
          <w:rFonts w:hint="eastAsia" w:ascii="Times New Roman" w:hAnsi="Times New Roman"/>
          <w:color w:val="000000"/>
        </w:rPr>
        <w:t>与LPZl 边界处的等电位接地端子板上，导线截面积不应小于 6mm 同轴电缆的前、后端及进机房前应将金属屏蔽层就近接地。</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第5.4.5条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通信接入网和电话交换系统的防雷与接地应符合的规定是什么？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1）有线电话通信用户交换机设备金属芯信号线路，应根据总配线架所连接的中继线及用户线的接口形式选择适配的信号线路浪涌保护器;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2）浪涌保护器的接地端应与配线架接地端相连，配线架的接地线应采用截面积不小于 16mm 的多股铜线接至等电位接地端子板上;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3）通信设备机柜、机房电源配电箱等的接地线应就近接至机房的局部等电位接地端子板上;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4）引人建筑物的室外铜缆宜穿钢管敷设，钢管两端应接地。</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w:t>
      </w:r>
      <w:bookmarkStart w:id="0" w:name="_GoBack"/>
      <w:bookmarkEnd w:id="0"/>
      <w:r>
        <w:rPr>
          <w:rFonts w:hint="eastAsia" w:ascii="Times New Roman" w:hAnsi="Times New Roman"/>
          <w:color w:val="000000"/>
          <w:sz w:val="24"/>
          <w:szCs w:val="24"/>
        </w:rPr>
        <w:t>信息系统防雷技术规范</w:t>
      </w:r>
      <w:r>
        <w:rPr>
          <w:rFonts w:ascii="Times New Roman" w:hAnsi="Times New Roman"/>
          <w:color w:val="000000"/>
          <w:sz w:val="24"/>
          <w:szCs w:val="24"/>
        </w:rPr>
        <w:t>》</w:t>
      </w:r>
      <w:r>
        <w:rPr>
          <w:rFonts w:hint="eastAsia" w:ascii="Times New Roman" w:hAnsi="Times New Roman"/>
          <w:color w:val="000000"/>
          <w:sz w:val="24"/>
          <w:szCs w:val="24"/>
        </w:rPr>
        <w:t>第5.5.1条</w:t>
      </w:r>
    </w:p>
    <w:p>
      <w:pPr>
        <w:pStyle w:val="5"/>
        <w:spacing w:line="400" w:lineRule="exact"/>
        <w:ind w:firstLine="0" w:firstLineChars="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信息网络系统的防雷与接地应符合的规定是什么？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1）进、出建筑物的传输线路上，在LPZ0</w:t>
      </w:r>
      <w:r>
        <w:rPr>
          <w:rFonts w:hint="eastAsia" w:ascii="Times New Roman" w:hAnsi="Times New Roman"/>
          <w:color w:val="000000"/>
          <w:vertAlign w:val="subscript"/>
        </w:rPr>
        <w:t>A</w:t>
      </w:r>
      <w:r>
        <w:rPr>
          <w:rFonts w:hint="eastAsia" w:ascii="Times New Roman" w:hAnsi="Times New Roman"/>
          <w:color w:val="000000"/>
        </w:rPr>
        <w:t xml:space="preserve"> 或LPZ0</w:t>
      </w:r>
      <w:r>
        <w:rPr>
          <w:rFonts w:hint="eastAsia" w:ascii="Times New Roman" w:hAnsi="Times New Roman"/>
          <w:color w:val="000000"/>
          <w:vertAlign w:val="subscript"/>
        </w:rPr>
        <w:t>B</w:t>
      </w:r>
      <w:r>
        <w:rPr>
          <w:rFonts w:hint="eastAsia" w:ascii="Times New Roman" w:hAnsi="Times New Roman"/>
          <w:color w:val="000000"/>
        </w:rPr>
        <w:t>与LPZl的边界处应设置适配的信号线路浪涌保护器。被保护设备的端口处宜设置适配的信号浪涌保护器。网络交换机、集线器、光电端机的配电箱内，应加装电源浪涌保护器。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2）入户处浪涌保护器的接地线应就近接至等电位接地端子板;设备处信号浪涌保护器的接地线宜采用截面积不小于1. 5mm</w:t>
      </w:r>
      <w:r>
        <w:rPr>
          <w:rFonts w:hint="eastAsia" w:ascii="Times New Roman" w:hAnsi="Times New Roman"/>
          <w:color w:val="000000"/>
          <w:vertAlign w:val="superscript"/>
        </w:rPr>
        <w:t>2</w:t>
      </w:r>
      <w:r>
        <w:rPr>
          <w:rFonts w:hint="eastAsia" w:ascii="Times New Roman" w:hAnsi="Times New Roman"/>
          <w:color w:val="000000"/>
        </w:rPr>
        <w:t xml:space="preserve"> 的多股绝缘铜导线连接到机架或机房等电位连接网络上。计算机网络的安全保护接地、信号工作地、屏蔽接地、防静电接地和浪涌保护器的接地等均应与局部等电位连接网络连接。</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第5.5.2条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安全防范系统的防雷与接地应符合的规定是什么？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1）置于户外摄像机的输出视频接口应设置视频信号线路浪涌保护器。摄像机控制信号线接口处应设置信号线路浪涌保护器。解码箱处供电线路应设置电源线路浪涌保护器。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2）主控机、分控机的信号控制线、通信线、各监控器的报警信号线，宜在线路进出建筑物LPZ0</w:t>
      </w:r>
      <w:r>
        <w:rPr>
          <w:rFonts w:hint="eastAsia" w:ascii="Times New Roman" w:hAnsi="Times New Roman"/>
          <w:color w:val="000000"/>
          <w:vertAlign w:val="subscript"/>
        </w:rPr>
        <w:t>A</w:t>
      </w:r>
      <w:r>
        <w:rPr>
          <w:rFonts w:hint="eastAsia" w:ascii="Times New Roman" w:hAnsi="Times New Roman"/>
          <w:color w:val="000000"/>
        </w:rPr>
        <w:t xml:space="preserve"> 或LPZ0</w:t>
      </w:r>
      <w:r>
        <w:rPr>
          <w:rFonts w:hint="eastAsia" w:ascii="Times New Roman" w:hAnsi="Times New Roman"/>
          <w:color w:val="000000"/>
          <w:vertAlign w:val="subscript"/>
        </w:rPr>
        <w:t>B</w:t>
      </w:r>
      <w:r>
        <w:rPr>
          <w:rFonts w:hint="eastAsia" w:ascii="Times New Roman" w:hAnsi="Times New Roman"/>
          <w:color w:val="000000"/>
        </w:rPr>
        <w:t>与LPZl边界处设置适配的线路浪涌保护器。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系统视频、控制信号线路及供电线路的浪涌保护器，应分别根据视频信号线路、解码控制信号线路及摄像机供电线路的性能参数来选择，信号浪涌保护器应满足设备传输速率、带宽要求，并与被保护设备接口兼容。</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4）系统的户外供电线路、视频信号线路、控制信号线路应有金属屏蔽层并穿钢管埋地敷设，屏蔽层及钢管两端应接地。视频信号线屏蔽层应单端接地，钢管应两端接地。信号线与供电线路应分开敷设。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5）系统的接地宜采用共用接地系统。主机房宜设置等电位连接网络，系统接地干线宜采用多股铜芯绝缘导线，其截面积应符合</w:t>
      </w:r>
      <w:r>
        <w:rPr>
          <w:rFonts w:ascii="Times New Roman" w:hAnsi="Times New Roman"/>
          <w:color w:val="000000"/>
        </w:rPr>
        <w:t xml:space="preserve">GB </w:t>
      </w:r>
      <w:r>
        <w:rPr>
          <w:rFonts w:hint="eastAsia" w:ascii="Times New Roman" w:hAnsi="Times New Roman"/>
          <w:color w:val="000000"/>
        </w:rPr>
        <w:t>50343-2012表 5.2.2-1 的规定。</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第5.5.3条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火灾自动报警及消防联动控制系统的防雷与接地应符合的规定是什么？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1）火灾报警控制系统的报警主机、联动控制盘、火警广播、对讲通信等系统的信号传输线缆宜在线路进出建筑物LPZ0</w:t>
      </w:r>
      <w:r>
        <w:rPr>
          <w:rFonts w:hint="eastAsia" w:ascii="Times New Roman" w:hAnsi="Times New Roman"/>
          <w:color w:val="000000"/>
          <w:vertAlign w:val="subscript"/>
        </w:rPr>
        <w:t>A</w:t>
      </w:r>
      <w:r>
        <w:rPr>
          <w:rFonts w:hint="eastAsia" w:ascii="Times New Roman" w:hAnsi="Times New Roman"/>
          <w:color w:val="000000"/>
        </w:rPr>
        <w:t xml:space="preserve"> 或LPZ0</w:t>
      </w:r>
      <w:r>
        <w:rPr>
          <w:rFonts w:hint="eastAsia" w:ascii="Times New Roman" w:hAnsi="Times New Roman"/>
          <w:color w:val="000000"/>
          <w:vertAlign w:val="subscript"/>
        </w:rPr>
        <w:t>B</w:t>
      </w:r>
      <w:r>
        <w:rPr>
          <w:rFonts w:hint="eastAsia" w:ascii="Times New Roman" w:hAnsi="Times New Roman"/>
          <w:color w:val="000000"/>
        </w:rPr>
        <w:t>与LPZl边界处设置适配的信号线路浪涌保护器。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2）消防控制中心与本地区或城市"119"报警指挥中心之间联网的进出线路端口应装设适配的信号线路浪涌保护器。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3）消防控制室内所有的机架(壳)、金属线槽、安全保护接地、浪涌保护器接地端均应就近接至等电位连接网络。</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4）区域报警控制器的金属机架(壳)、金属线槽(或钢管)、电气竖井内的接地干线、接线箱的保护接地端等，应就近接至等电位接地端子板。</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5）火灾自动报警及联动控制系统的接地应采用共用接地系统。接地干线应采用铜芯绝缘线，并宜穿管敷设接至本楼层或就近的等电位接地端子板。</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第5.5.4条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建筑设备管理系统的防雷与接地应符合的规定是什么？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1）系统的各种线路在建筑物LPZ0</w:t>
      </w:r>
      <w:r>
        <w:rPr>
          <w:rFonts w:hint="eastAsia" w:ascii="Times New Roman" w:hAnsi="Times New Roman"/>
          <w:color w:val="000000"/>
          <w:vertAlign w:val="subscript"/>
        </w:rPr>
        <w:t>A</w:t>
      </w:r>
      <w:r>
        <w:rPr>
          <w:rFonts w:hint="eastAsia" w:ascii="Times New Roman" w:hAnsi="Times New Roman"/>
          <w:color w:val="000000"/>
        </w:rPr>
        <w:t xml:space="preserve"> 或LPZ0</w:t>
      </w:r>
      <w:r>
        <w:rPr>
          <w:rFonts w:hint="eastAsia" w:ascii="Times New Roman" w:hAnsi="Times New Roman"/>
          <w:color w:val="000000"/>
          <w:vertAlign w:val="subscript"/>
        </w:rPr>
        <w:t>B</w:t>
      </w:r>
      <w:r>
        <w:rPr>
          <w:rFonts w:hint="eastAsia" w:ascii="Times New Roman" w:hAnsi="Times New Roman"/>
          <w:color w:val="000000"/>
        </w:rPr>
        <w:t>与LPZl边界处应安装适配的浪涌保护器。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2）系统中央控制室宜在机柜附近设等电位连接网络。室内所有设备金属机架(壳)、金属线槽、保护接地和浪涌保护器的接地端等均应做等电位连接并接地。</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3）系统的接地应采用共用接地系统，其接地干线宜采用铜芯绝缘导线穿管敷设，并就近接至等电位接地端子板，其截面积应符合</w:t>
      </w:r>
      <w:r>
        <w:rPr>
          <w:rFonts w:ascii="Times New Roman" w:hAnsi="Times New Roman"/>
          <w:color w:val="000000"/>
        </w:rPr>
        <w:t xml:space="preserve">GB </w:t>
      </w:r>
      <w:r>
        <w:rPr>
          <w:rFonts w:hint="eastAsia" w:ascii="Times New Roman" w:hAnsi="Times New Roman"/>
          <w:color w:val="000000"/>
        </w:rPr>
        <w:t>50343-2012表 5.2.2-1 的规定。</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第5.5.5条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有线电视系统的防雷与接地应符合的规定是什么？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1）进、出有线电视系统前端机房的金属芯信号传输线宜在入、出口处安装适配的浪涌保护器。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2）有线电视网络前端机房内应设置局部等电位接地端子板，并采用截面积不小于 25mm</w:t>
      </w:r>
      <w:r>
        <w:rPr>
          <w:rFonts w:hint="eastAsia" w:ascii="Times New Roman" w:hAnsi="Times New Roman"/>
          <w:color w:val="000000"/>
          <w:vertAlign w:val="superscript"/>
        </w:rPr>
        <w:t>2</w:t>
      </w:r>
      <w:r>
        <w:rPr>
          <w:rFonts w:hint="eastAsia" w:ascii="Times New Roman" w:hAnsi="Times New Roman"/>
          <w:color w:val="000000"/>
        </w:rPr>
        <w:t>的铜芯导线与楼层接地端子板相连。机房内电子设备的金属外壳、线缆金属屏蔽层、浪涌保护器的接地以及 PE 线都应接至局部等电位接地端子板上。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有线电视信号传输线路宜根据其干线放大器的工作频率范围、接口形式以及是否需要供电电源等要求，选用电压驻波比和插入损耗小的适配的浪涌保护器。地处多雷区、强雷区的用户端的终端放大器应设置浪涌保护器。有线电视信号传输网络的光缆、同轴电缆的承重钢绞线在建筑物人户处应进行等电位连接并接地。光缆内的金属加强芯及金属护层均应良好接地。</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第5.5.6条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移动通信基站的防雷与接地应符合的规定是什么？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1）移动通信基站的雷电防护宜进行雷电风险评估后采取防护措施。</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2）基站的天线应设置于直击雷防护区(LPZ0</w:t>
      </w:r>
      <w:r>
        <w:rPr>
          <w:rFonts w:hint="eastAsia" w:ascii="Times New Roman" w:hAnsi="Times New Roman"/>
          <w:color w:val="000000"/>
          <w:vertAlign w:val="subscript"/>
        </w:rPr>
        <w:t>B</w:t>
      </w:r>
      <w:r>
        <w:rPr>
          <w:rFonts w:hint="eastAsia" w:ascii="Times New Roman" w:hAnsi="Times New Roman"/>
          <w:color w:val="000000"/>
        </w:rPr>
        <w:t>) 内。</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3）基站天馈线应从铁塔中心部位引下，同轴电缆在其上部、下部和经走线桥架进入机房前，屏蔽层应就近接地。当铁塔高度大于或等于 60m 时，同轴电缆金属屏蔽层还应在铁塔中间部位增加一处接地。</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4）机房天馈线人户处应设室外接地端子板作为馈线和走线桥架人户处的接地点，室外接地端子板应直接与地网连接。馈线人户下端接地点不应接在室内设备接地端子板上，亦不应接在铁塔一角上或接闪带上。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5）当采用光缆传输信号时，应符合GB50343–2012第 5.3.3 条的规定。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6）移动基站的地网应由机房地网、铁塔地网和变压器地网相互连接组成。机房地网由机房建筑基础和周围环形接地体组成，环形接地体应与机房建筑物四角主钢筋焊接连通。</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第5.5.7条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卫星通信系统的防雷与接地应符合的规定是什么？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1）在卫星通信系统的接地装置设计中，应将卫星天线基础接地体、电力变压器接地装置及站内各建筑物接地装置互相连通组成共用接地装置。</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2）设备通信和信号端口应设置浪涌保护器保护，并采用等电位连接和电磁屏蔽措施，必要时可改用光纤连接。站外引人的信号电缆屏蔽层应在人户处接地。</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3）卫星天线的波导管应在天线架和机房人口外侧接地。</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4）卫星天线伺服控制系统的控制线及电源线，应采用屏蔽电缆，屏蔽层应在天线处和机房人口外接地，并应设置适配的浪涌保护器保护。</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5）卫星通信天线应设置防直击雷的接闪装置，使天线处于LPZ0</w:t>
      </w:r>
      <w:r>
        <w:rPr>
          <w:rFonts w:hint="eastAsia" w:ascii="Times New Roman" w:hAnsi="Times New Roman"/>
          <w:color w:val="000000"/>
          <w:vertAlign w:val="subscript"/>
        </w:rPr>
        <w:t xml:space="preserve"> B</w:t>
      </w:r>
      <w:r>
        <w:rPr>
          <w:rFonts w:hint="eastAsia" w:ascii="Times New Roman" w:hAnsi="Times New Roman"/>
          <w:color w:val="000000"/>
        </w:rPr>
        <w:t>防护区内。</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6）当卫星通信系统具有双向(收/发)通信功能且天线架设在高层建筑物的屋面时，天线架应通过专引接地线(截面积大于或等于 25mm</w:t>
      </w:r>
      <w:r>
        <w:rPr>
          <w:rFonts w:hint="eastAsia" w:ascii="Times New Roman" w:hAnsi="Times New Roman"/>
          <w:color w:val="000000"/>
          <w:vertAlign w:val="superscript"/>
        </w:rPr>
        <w:t>2</w:t>
      </w:r>
      <w:r>
        <w:rPr>
          <w:rFonts w:hint="eastAsia" w:ascii="Times New Roman" w:hAnsi="Times New Roman"/>
          <w:color w:val="000000"/>
        </w:rPr>
        <w:t>绝缘铜芯导线)与卫星通信机房等电位接地端子板连接，不应与接闪器直接连接。</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第5.5.8条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钢筋混凝土建筑物宜在电子信息系统机房内预埋与房屋内墙结构柱主钢筋相连的等电位接地端子板的规定是什么？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  1）机房采用S型等电位连接时，宜使用不小于 25mm*3mm 的铜排作为单点连接的等电位接地基准点;</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2）机房采用M型等电位连接时，宜使用截面积不小于25mm</w:t>
      </w:r>
      <w:r>
        <w:rPr>
          <w:rFonts w:hint="eastAsia" w:ascii="Times New Roman" w:hAnsi="Times New Roman"/>
          <w:color w:val="000000"/>
          <w:vertAlign w:val="superscript"/>
        </w:rPr>
        <w:t>2</w:t>
      </w:r>
      <w:r>
        <w:rPr>
          <w:rFonts w:hint="eastAsia" w:ascii="Times New Roman" w:hAnsi="Times New Roman"/>
          <w:color w:val="000000"/>
        </w:rPr>
        <w:t>的铜箔或多股铜芯导体在防静电活动地板下做成等电位接地网格。</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第6.4.2条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电源线路浪涌保护器安装的规定是什么？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1）电源线路的各级浪涌保护器应分别安装在线路进入建筑物的入口、防雷区的界面和靠近被保护设备处。各级浪涌保护器连接导线应短直，其长度不宜超过 0.5m ，并固定牢靠。浪涌保护器各接线端应在本级开关、熔断器的下桩头分别与配电箱内线路的同名端相线连接，浪涌保护器的接地端应以最短距离与所处防雷区的等电位接地端子板连接。配电箱的保护接地线 （PE）应与等电位接地端子板直接连接。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2）带有接线端子的电源线路浪涌保护器应采用压接;带有接线柱的浪涌保护器宜采用接线端子与接线柱连接。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3）浪涌保护器的连接导线最小截面积宜符合</w:t>
      </w:r>
      <w:r>
        <w:rPr>
          <w:rFonts w:ascii="Times New Roman" w:hAnsi="Times New Roman"/>
          <w:color w:val="000000"/>
        </w:rPr>
        <w:t xml:space="preserve">GB </w:t>
      </w:r>
      <w:r>
        <w:rPr>
          <w:rFonts w:hint="eastAsia" w:ascii="Times New Roman" w:hAnsi="Times New Roman"/>
          <w:color w:val="000000"/>
        </w:rPr>
        <w:t>50343-2012表 6.5.1规定。</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第6.5.1条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浪涌保护器的连接导线最小截面积分别是什么？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 xml:space="preserve">  答：</w:t>
      </w:r>
    </w:p>
    <w:p>
      <w:pPr>
        <w:widowControl/>
        <w:jc w:val="left"/>
      </w:pPr>
      <w:r>
        <w:rPr>
          <w:rFonts w:ascii="宋体" w:hAnsi="宋体" w:eastAsia="宋体" w:cs="宋体"/>
          <w:kern w:val="0"/>
          <w:sz w:val="24"/>
          <w:szCs w:val="24"/>
        </w:rPr>
        <w:drawing>
          <wp:inline distT="0" distB="0" distL="114300" distR="114300">
            <wp:extent cx="4978400" cy="2186940"/>
            <wp:effectExtent l="0" t="0" r="12700" b="3810"/>
            <wp:docPr id="2"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IMG_256"/>
                    <pic:cNvPicPr>
                      <a:picLocks noChangeAspect="1"/>
                    </pic:cNvPicPr>
                  </pic:nvPicPr>
                  <pic:blipFill>
                    <a:blip r:embed="rId5"/>
                    <a:stretch>
                      <a:fillRect/>
                    </a:stretch>
                  </pic:blipFill>
                  <pic:spPr>
                    <a:xfrm>
                      <a:off x="0" y="0"/>
                      <a:ext cx="4978400" cy="2186940"/>
                    </a:xfrm>
                    <a:prstGeom prst="rect">
                      <a:avLst/>
                    </a:prstGeom>
                    <a:noFill/>
                    <a:ln w="9525">
                      <a:noFill/>
                    </a:ln>
                  </pic:spPr>
                </pic:pic>
              </a:graphicData>
            </a:graphic>
          </wp:inline>
        </w:drawing>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第6.5.1条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天馈线路浪涌保护器安装的规定是什么？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1）天馈线路浪涌保护器应安装在天馈线与被保护设备之间，宜安装在机房内设备附近或机架上，也可以直接安装在设备射频端口上;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2）天馈线路浪涌保护器的接地端应采用截面积不小于6mm</w:t>
      </w:r>
      <w:r>
        <w:rPr>
          <w:rFonts w:hint="eastAsia" w:ascii="Times New Roman" w:hAnsi="Times New Roman"/>
          <w:color w:val="000000"/>
          <w:vertAlign w:val="superscript"/>
        </w:rPr>
        <w:t>2</w:t>
      </w:r>
      <w:r>
        <w:rPr>
          <w:rFonts w:hint="eastAsia" w:ascii="Times New Roman" w:hAnsi="Times New Roman"/>
          <w:color w:val="000000"/>
        </w:rPr>
        <w:t>的铜芯导线就近连接到 LPZ0</w:t>
      </w:r>
      <w:r>
        <w:rPr>
          <w:rFonts w:hint="eastAsia" w:ascii="Times New Roman" w:hAnsi="Times New Roman"/>
          <w:color w:val="000000"/>
          <w:vertAlign w:val="subscript"/>
        </w:rPr>
        <w:t>A</w:t>
      </w:r>
      <w:r>
        <w:rPr>
          <w:rFonts w:hint="eastAsia" w:ascii="Times New Roman" w:hAnsi="Times New Roman"/>
          <w:color w:val="000000"/>
        </w:rPr>
        <w:t>或 LPZ0</w:t>
      </w:r>
      <w:r>
        <w:rPr>
          <w:rFonts w:hint="eastAsia" w:ascii="Times New Roman" w:hAnsi="Times New Roman"/>
          <w:color w:val="000000"/>
          <w:vertAlign w:val="subscript"/>
        </w:rPr>
        <w:t>B</w:t>
      </w:r>
      <w:r>
        <w:rPr>
          <w:rFonts w:hint="eastAsia" w:ascii="Times New Roman" w:hAnsi="Times New Roman"/>
          <w:color w:val="000000"/>
        </w:rPr>
        <w:t>与 LPZl 交界处的等电位接地端子板上，接地线应短直。</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第6.5.2条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信号线路浪涌保护器安装的规定是什么？</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1）信号线路浪涌保护器应连接在被保护设备的信号端口上。浪涌保护器可以安装在机柜内，也可以固定在设备机架或附近的支撑物上。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2）信号线路浪涌保护器接地端宜采用截面积不小于1. 5mm</w:t>
      </w:r>
      <w:r>
        <w:rPr>
          <w:rFonts w:hint="eastAsia" w:ascii="Times New Roman" w:hAnsi="Times New Roman"/>
          <w:color w:val="000000"/>
          <w:vertAlign w:val="superscript"/>
        </w:rPr>
        <w:t>2</w:t>
      </w:r>
      <w:r>
        <w:rPr>
          <w:rFonts w:hint="eastAsia" w:ascii="Times New Roman" w:hAnsi="Times New Roman"/>
          <w:color w:val="000000"/>
        </w:rPr>
        <w:t>的铜芯导线与设备机房等电位连接网络连接，接地线应短直。</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第6.5.3条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接地装置验收应包括哪些项目？</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1）接地装置的结构和安装位置;</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2）接地体的埋设间距、深度、安装方法;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3）接地装置的接地电阻;</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4）接地装置的材质、连接方法、防腐处理;</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5）随工检测及隐蔽工程记录。</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第7.2.1条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接地线验收应包括哪些项目？</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1）接地装置与总等电位接地端子板连接导体规格和连接方法;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2）接地干线的规格、敷设方式、与楼层等电位接地端子板的连接方法;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3）楼层等电位接地端子板与机房局部等电位接地端子板连线的规格、敷设方式、连接方法;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4）接地线与接地体、金属管道之间的连接方法;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5）接地线在穿越墙体、伸缩缝、楼板和地坪时加装的保护管是否满足设计要求。</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第7.2.2条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等电位接地端子板验收应包括哪些项目？</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1）等电位接地端子板(等电位连接带)的安装位置、材料、规格和连接方法;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2）等电位连接网络的安装位置、材料规格和连接方法;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3）电子信息系统的外露导电物体、各种线路、金属管道以及信息设备等电位连接的材料规格和连接方法。</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第7.2.3条</w:t>
      </w:r>
    </w:p>
    <w:p>
      <w:pPr>
        <w:pStyle w:val="5"/>
        <w:spacing w:line="400" w:lineRule="exact"/>
        <w:ind w:left="400" w:firstLine="360" w:firstLineChars="15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屏蔽设施验收应包括哪些项目？</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1）电子信息系统机房和设备屏蔽设施的安装方法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2）进出建筑物线缆的路由布置、屏蔽方式;</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3）进出建筑物线缆屏蔽设施的等电位连接。</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第7.2.4条</w:t>
      </w:r>
    </w:p>
    <w:p>
      <w:pPr>
        <w:pStyle w:val="5"/>
        <w:spacing w:line="400" w:lineRule="exact"/>
        <w:ind w:firstLine="0" w:firstLineChars="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浪涌保护器验收应包括哪些项目？</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1）浪涌保护器的安装位置、连接方法、工作状态指示;</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2）浪涌保护器连接导线的长度、截面积</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3）电源线路各级浪涌保护器的参数选择及能量配合。</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第7.2.5条</w:t>
      </w:r>
    </w:p>
    <w:p>
      <w:pPr>
        <w:pStyle w:val="5"/>
        <w:spacing w:line="400" w:lineRule="exact"/>
        <w:ind w:firstLine="0" w:firstLineChars="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屏蔽设施验收应包括哪些项目？</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1）电源线缆、信号线缆的敷设路由;</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2）电源线缆、信号线缆的敷设间距;</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3）电子信息系统线缆与电气设备的间距。</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第7.2.6条</w:t>
      </w:r>
    </w:p>
    <w:p>
      <w:pPr>
        <w:pStyle w:val="5"/>
        <w:spacing w:line="400" w:lineRule="exact"/>
        <w:ind w:firstLine="0" w:firstLineChars="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竣工验收报告应包括哪些内容？</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1）项目概述</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2）施工与安装</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3）防雷装置的性能、被保护对象及范围;</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4）接地装置的形式和敷设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5）防雷装置的防腐蚀措施;</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6）接地电阻以及有关参数的测试数据和测试仪器;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7）等电位连接带及屏蔽设施;</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8）其他应予说明的事项;</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9）结论和评价。</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第7.3.4条</w:t>
      </w:r>
    </w:p>
    <w:p>
      <w:pPr>
        <w:pStyle w:val="5"/>
        <w:spacing w:line="400" w:lineRule="exact"/>
        <w:ind w:firstLine="0" w:firstLineChars="0"/>
        <w:jc w:val="left"/>
        <w:rPr>
          <w:rFonts w:ascii="Times New Roman" w:hAnsi="Times New Roman"/>
          <w:color w:val="000000"/>
          <w:sz w:val="24"/>
          <w:szCs w:val="24"/>
        </w:rPr>
      </w:pPr>
    </w:p>
    <w:p>
      <w:pPr>
        <w:numPr>
          <w:ilvl w:val="0"/>
          <w:numId w:val="7"/>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防雷工程竣工，施工单位应提供哪些技术文件和资料？</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  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1）竣工图: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a) 防雷装置安装竣工图;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b) 接地线敷设竣工图;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c) 接地装置安装竣工图;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d) 等电位连接带安装竣工图;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e) 屏蔽设施安装竣工图。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2）被保护设备一览表。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3）变更设计的说明书或施工治谈单。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4）安装工程记录(包括隐蔽工程记录)。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5）重要会议及相关事宜记录。</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ascii="Times New Roman" w:hAnsi="Times New Roman"/>
          <w:color w:val="000000"/>
          <w:sz w:val="24"/>
          <w:szCs w:val="24"/>
        </w:rPr>
        <w:t xml:space="preserve">GB </w:t>
      </w:r>
      <w:r>
        <w:rPr>
          <w:rFonts w:hint="eastAsia" w:ascii="Times New Roman" w:hAnsi="Times New Roman"/>
          <w:color w:val="000000"/>
          <w:sz w:val="24"/>
          <w:szCs w:val="24"/>
        </w:rPr>
        <w:t>50343-2012《建筑物电子信息系统防雷技术规范</w:t>
      </w:r>
      <w:r>
        <w:rPr>
          <w:rFonts w:ascii="Times New Roman" w:hAnsi="Times New Roman"/>
          <w:color w:val="000000"/>
          <w:sz w:val="24"/>
          <w:szCs w:val="24"/>
        </w:rPr>
        <w:t>》</w:t>
      </w:r>
      <w:r>
        <w:rPr>
          <w:rFonts w:hint="eastAsia" w:ascii="Times New Roman" w:hAnsi="Times New Roman"/>
          <w:color w:val="000000"/>
          <w:sz w:val="24"/>
          <w:szCs w:val="24"/>
        </w:rPr>
        <w:t>第7.3.5条</w:t>
      </w:r>
    </w:p>
    <w:p>
      <w:pPr>
        <w:numPr>
          <w:numId w:val="0"/>
        </w:numPr>
        <w:rPr>
          <w:rFonts w:hint="default" w:ascii="黑体" w:hAnsi="黑体" w:eastAsia="黑体" w:cs="黑体"/>
          <w:sz w:val="32"/>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楷体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7D1D84"/>
    <w:multiLevelType w:val="singleLevel"/>
    <w:tmpl w:val="967D1D84"/>
    <w:lvl w:ilvl="0" w:tentative="0">
      <w:start w:val="4"/>
      <w:numFmt w:val="chineseCounting"/>
      <w:suff w:val="nothing"/>
      <w:lvlText w:val="%1、"/>
      <w:lvlJc w:val="left"/>
      <w:pPr>
        <w:ind w:left="480" w:leftChars="0" w:firstLine="0" w:firstLineChars="0"/>
      </w:pPr>
      <w:rPr>
        <w:rFonts w:hint="eastAsia"/>
      </w:rPr>
    </w:lvl>
  </w:abstractNum>
  <w:abstractNum w:abstractNumId="1">
    <w:nsid w:val="BDD69830"/>
    <w:multiLevelType w:val="singleLevel"/>
    <w:tmpl w:val="BDD69830"/>
    <w:lvl w:ilvl="0" w:tentative="0">
      <w:start w:val="1"/>
      <w:numFmt w:val="decimal"/>
      <w:suff w:val="space"/>
      <w:lvlText w:val="%1."/>
      <w:lvlJc w:val="left"/>
    </w:lvl>
  </w:abstractNum>
  <w:abstractNum w:abstractNumId="2">
    <w:nsid w:val="E6CE9A03"/>
    <w:multiLevelType w:val="singleLevel"/>
    <w:tmpl w:val="E6CE9A03"/>
    <w:lvl w:ilvl="0" w:tentative="0">
      <w:start w:val="1"/>
      <w:numFmt w:val="chineseCounting"/>
      <w:suff w:val="nothing"/>
      <w:lvlText w:val="%1、"/>
      <w:lvlJc w:val="left"/>
      <w:rPr>
        <w:rFonts w:hint="eastAsia"/>
      </w:rPr>
    </w:lvl>
  </w:abstractNum>
  <w:abstractNum w:abstractNumId="3">
    <w:nsid w:val="10F52859"/>
    <w:multiLevelType w:val="multilevel"/>
    <w:tmpl w:val="10F5285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9945A42"/>
    <w:multiLevelType w:val="multilevel"/>
    <w:tmpl w:val="29945A42"/>
    <w:lvl w:ilvl="0" w:tentative="0">
      <w:start w:val="1"/>
      <w:numFmt w:val="decimal"/>
      <w:lvlText w:val="%1."/>
      <w:lvlJc w:val="left"/>
      <w:pPr>
        <w:ind w:left="567" w:hanging="567"/>
      </w:pPr>
      <w:rPr>
        <w:rFonts w:hint="eastAsia"/>
      </w:rPr>
    </w:lvl>
    <w:lvl w:ilvl="1" w:tentative="0">
      <w:start w:val="1"/>
      <w:numFmt w:val="decimal"/>
      <w:suff w:val="space"/>
      <w:lvlText w:val="%2."/>
      <w:lvlJc w:val="left"/>
      <w:pPr>
        <w:ind w:left="567" w:hanging="567"/>
      </w:pPr>
      <w:rPr>
        <w:rFonts w:hint="default" w:ascii="Times New Roman" w:hAnsi="Times New Roman" w:cs="Times New Roman"/>
      </w:rPr>
    </w:lvl>
    <w:lvl w:ilvl="2" w:tentative="0">
      <w:start w:val="1"/>
      <w:numFmt w:val="lowerRoman"/>
      <w:lvlText w:val="%3."/>
      <w:lvlJc w:val="right"/>
      <w:pPr>
        <w:ind w:left="567" w:hanging="567"/>
      </w:pPr>
      <w:rPr>
        <w:rFonts w:hint="eastAsia"/>
      </w:rPr>
    </w:lvl>
    <w:lvl w:ilvl="3" w:tentative="0">
      <w:start w:val="1"/>
      <w:numFmt w:val="decimal"/>
      <w:lvlText w:val="%4."/>
      <w:lvlJc w:val="left"/>
      <w:pPr>
        <w:ind w:left="567" w:hanging="567"/>
      </w:pPr>
      <w:rPr>
        <w:rFonts w:hint="eastAsia"/>
      </w:rPr>
    </w:lvl>
    <w:lvl w:ilvl="4" w:tentative="0">
      <w:start w:val="1"/>
      <w:numFmt w:val="lowerLetter"/>
      <w:lvlText w:val="%5)"/>
      <w:lvlJc w:val="left"/>
      <w:pPr>
        <w:ind w:left="567" w:hanging="567"/>
      </w:pPr>
      <w:rPr>
        <w:rFonts w:hint="eastAsia"/>
      </w:rPr>
    </w:lvl>
    <w:lvl w:ilvl="5" w:tentative="0">
      <w:start w:val="1"/>
      <w:numFmt w:val="lowerRoman"/>
      <w:lvlText w:val="%6."/>
      <w:lvlJc w:val="right"/>
      <w:pPr>
        <w:ind w:left="567" w:hanging="567"/>
      </w:pPr>
      <w:rPr>
        <w:rFonts w:hint="eastAsia"/>
      </w:rPr>
    </w:lvl>
    <w:lvl w:ilvl="6" w:tentative="0">
      <w:start w:val="1"/>
      <w:numFmt w:val="decimal"/>
      <w:lvlText w:val="%7."/>
      <w:lvlJc w:val="left"/>
      <w:pPr>
        <w:ind w:left="567" w:hanging="567"/>
      </w:pPr>
      <w:rPr>
        <w:rFonts w:hint="eastAsia"/>
      </w:rPr>
    </w:lvl>
    <w:lvl w:ilvl="7" w:tentative="0">
      <w:start w:val="1"/>
      <w:numFmt w:val="lowerLetter"/>
      <w:lvlText w:val="%8)"/>
      <w:lvlJc w:val="left"/>
      <w:pPr>
        <w:ind w:left="567" w:hanging="567"/>
      </w:pPr>
      <w:rPr>
        <w:rFonts w:hint="eastAsia"/>
      </w:rPr>
    </w:lvl>
    <w:lvl w:ilvl="8" w:tentative="0">
      <w:start w:val="1"/>
      <w:numFmt w:val="lowerRoman"/>
      <w:lvlText w:val="%9."/>
      <w:lvlJc w:val="right"/>
      <w:pPr>
        <w:ind w:left="567" w:hanging="567"/>
      </w:pPr>
      <w:rPr>
        <w:rFonts w:hint="eastAsia"/>
      </w:rPr>
    </w:lvl>
  </w:abstractNum>
  <w:abstractNum w:abstractNumId="5">
    <w:nsid w:val="2D70665E"/>
    <w:multiLevelType w:val="multilevel"/>
    <w:tmpl w:val="2D70665E"/>
    <w:lvl w:ilvl="0" w:tentative="0">
      <w:start w:val="1"/>
      <w:numFmt w:val="decimal"/>
      <w:suff w:val="space"/>
      <w:lvlText w:val="%1."/>
      <w:lvlJc w:val="left"/>
      <w:pPr>
        <w:ind w:left="400" w:hanging="400"/>
      </w:pPr>
      <w:rPr>
        <w:rFonts w:hint="default" w:ascii="Times New Roman" w:hAnsi="Times New Roman" w:cs="Times New Roman"/>
        <w:b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54DC3561"/>
    <w:multiLevelType w:val="multilevel"/>
    <w:tmpl w:val="54DC3561"/>
    <w:lvl w:ilvl="0" w:tentative="0">
      <w:start w:val="1"/>
      <w:numFmt w:val="decimal"/>
      <w:suff w:val="space"/>
      <w:lvlText w:val="%1."/>
      <w:lvlJc w:val="left"/>
      <w:pPr>
        <w:ind w:left="400" w:hanging="400"/>
      </w:pPr>
      <w:rPr>
        <w:rFonts w:hint="default" w:ascii="Times New Roman" w:hAnsi="Times New Roman" w:cs="Times New Roman"/>
        <w:b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2"/>
  </w:num>
  <w:num w:numId="2">
    <w:abstractNumId w:val="1"/>
  </w:num>
  <w:num w:numId="3">
    <w:abstractNumId w:val="3"/>
  </w:num>
  <w:num w:numId="4">
    <w:abstractNumId w:val="0"/>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21DB0"/>
    <w:rsid w:val="00C81A09"/>
    <w:rsid w:val="029355BC"/>
    <w:rsid w:val="05217DE3"/>
    <w:rsid w:val="05533A1F"/>
    <w:rsid w:val="06B2748E"/>
    <w:rsid w:val="07872751"/>
    <w:rsid w:val="092B45F0"/>
    <w:rsid w:val="0B9E5A11"/>
    <w:rsid w:val="0D6C16E6"/>
    <w:rsid w:val="0DA2643B"/>
    <w:rsid w:val="0ECE51A3"/>
    <w:rsid w:val="103F1057"/>
    <w:rsid w:val="1F880062"/>
    <w:rsid w:val="1FE6333E"/>
    <w:rsid w:val="1FF50239"/>
    <w:rsid w:val="204E3C35"/>
    <w:rsid w:val="21EF54A7"/>
    <w:rsid w:val="220E0492"/>
    <w:rsid w:val="24E7742B"/>
    <w:rsid w:val="26217C40"/>
    <w:rsid w:val="2AFB2200"/>
    <w:rsid w:val="2B0C2EA3"/>
    <w:rsid w:val="2C767C4C"/>
    <w:rsid w:val="2DC43A16"/>
    <w:rsid w:val="31835F7C"/>
    <w:rsid w:val="34F2240B"/>
    <w:rsid w:val="35786C4D"/>
    <w:rsid w:val="358B1667"/>
    <w:rsid w:val="35CE02EA"/>
    <w:rsid w:val="3ABD70A9"/>
    <w:rsid w:val="3C244FB9"/>
    <w:rsid w:val="3D4226BD"/>
    <w:rsid w:val="3E102879"/>
    <w:rsid w:val="3EC223E5"/>
    <w:rsid w:val="3F077E16"/>
    <w:rsid w:val="42D21DB0"/>
    <w:rsid w:val="45A64645"/>
    <w:rsid w:val="460B449B"/>
    <w:rsid w:val="479D2C70"/>
    <w:rsid w:val="4ACF76D8"/>
    <w:rsid w:val="4BAD6E39"/>
    <w:rsid w:val="4C877153"/>
    <w:rsid w:val="4F094BA2"/>
    <w:rsid w:val="51233C12"/>
    <w:rsid w:val="5165211D"/>
    <w:rsid w:val="546F5F66"/>
    <w:rsid w:val="5471216D"/>
    <w:rsid w:val="55CB5239"/>
    <w:rsid w:val="567C38A9"/>
    <w:rsid w:val="58041ED3"/>
    <w:rsid w:val="593443FD"/>
    <w:rsid w:val="5E1313FD"/>
    <w:rsid w:val="5FAB29AD"/>
    <w:rsid w:val="60E35881"/>
    <w:rsid w:val="614C7A2D"/>
    <w:rsid w:val="62CB4F56"/>
    <w:rsid w:val="64170DDE"/>
    <w:rsid w:val="64ED6E58"/>
    <w:rsid w:val="655F2805"/>
    <w:rsid w:val="66302223"/>
    <w:rsid w:val="68226AA7"/>
    <w:rsid w:val="68956EAD"/>
    <w:rsid w:val="6993322D"/>
    <w:rsid w:val="69BE38A6"/>
    <w:rsid w:val="6A231CBE"/>
    <w:rsid w:val="6BAC0D71"/>
    <w:rsid w:val="6D754191"/>
    <w:rsid w:val="6FBD2567"/>
    <w:rsid w:val="6FD610A4"/>
    <w:rsid w:val="72950726"/>
    <w:rsid w:val="75DC1C80"/>
    <w:rsid w:val="769A30EB"/>
    <w:rsid w:val="77074FF2"/>
    <w:rsid w:val="787C2FA0"/>
    <w:rsid w:val="7933362B"/>
    <w:rsid w:val="7FFD3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List Paragraph"/>
    <w:basedOn w:val="1"/>
    <w:qFormat/>
    <w:uiPriority w:val="34"/>
    <w:pPr>
      <w:ind w:firstLine="420" w:firstLineChars="200"/>
    </w:pPr>
    <w:rPr>
      <w:rFonts w:eastAsia="宋体" w:cs="Times New Roman"/>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2021-11-02T06:53:00Z</dcterms:created>
  <dc:creator>Edith</dc:creator>
  <cp:lastModifiedBy>Edith</cp:lastModifiedBy>
  <dcterms:modified xsi:type="dcterms:W3CDTF">2021-11-02T07:53:34Z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16048F51D569464ABD0D1C05D560DA94</vt:lpwstr>
  </property>
</Properties>
</file>